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9654758"/>
    <w:p w14:paraId="40891563" w14:textId="2B2F15E4" w:rsidR="007C33F7" w:rsidRPr="00172542" w:rsidRDefault="00C96679">
      <w:pPr>
        <w:spacing w:after="100" w:afterAutospacing="1"/>
        <w:rPr>
          <w:rFonts w:ascii="Futura Std Book" w:hAnsi="Futura Std Book" w:cs="Futura Std Medium"/>
          <w:color w:val="EB8215"/>
          <w:sz w:val="23"/>
          <w:lang w:val="es-ES"/>
        </w:rPr>
      </w:pPr>
      <w:r>
        <w:rPr>
          <w:rFonts w:asciiTheme="majorHAnsi" w:hAnsiTheme="majorHAnsi" w:cstheme="majorHAnsi"/>
          <w:noProof/>
          <w:color w:val="E7E6E6" w:themeColor="background2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F3271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LOyAEAAPsDAAAOAAAAZHJzL2Uyb0RvYy54bWysU8tu2zAQvBfoPxC813q0DlrBcg4J0ksf&#10;QR8fQFNLiwBfIBnL/vsuV7YctAWKFr1QIrkzszNabW6P1rADxKS963mzqjkDJ/2g3b7n3789vHrL&#10;WcrCDcJ4Bz0/QeK325cvNlPooPWjNwNEhiQudVPo+Zhz6KoqyRGsSCsfwOGl8tGKjNu4r4YoJmS3&#10;pmrr+qaafBxC9BJSwtP7+ZJviV8pkPmzUgkyMz3H3jKtkdZdWavtRnT7KMKo5bkN8Q9dWKEdii5U&#10;9yIL9hT1L1RWy+iTV3klva28UloCeUA3Tf2Tm6+jCEBeMJwUlpjS/6OVnw537jFiDFNIXQqPsbg4&#10;qmjLE/tjRwrrtIQFx8wkHt60Tf3u9ZoziXft+g1lWV2xIab8Hrxl5aXnRrtiRXTi8CFl1MPSS0k5&#10;Nq6syRs9PGhjaFOGAO5MZAeBn2+3b4nAPNmPfpjP2nVdX4RpZko5cT9jQqXCXl0d0ls+GZiVv4Bi&#10;ekBPDQksRLOGkBJcbsqoEBNWF5jCLhdg/Wfgub5AgQbzb8ALgpS9ywvYaufj79Tz8dKymusvCcy+&#10;SwQ7P5zo21M0OGHk8Pw3lBF+vif49Z/d/gAAAP//AwBQSwMEFAAGAAgAAAAhAFNrI1jeAAAACQEA&#10;AA8AAABkcnMvZG93bnJldi54bWxMj0FPwzAMhe9I/IfISNxYsgFjK02nCQmJy5A2dmA3tzFtoXGq&#10;Jl3Lvyc9jZv93tPz53Qz2kacqfO1Yw3zmQJBXDhTc6nh+PF6twLhA7LBxjFp+CUPm+z6KsXEuIH3&#10;dD6EUsQS9glqqEJoEyl9UZFFP3MtcfS+XGcxxLUrpelwiOW2kQulltJizfFChS29VFT8HHqr4bM3&#10;j/vT93v5ltPO4sNxi7v5oPXtzbh9BhFoDJcwTPgRHbLIlLuejReNhsUyBqOspiH665V6ApFPyr0C&#10;maXy/wfZHwAAAP//AwBQSwECLQAUAAYACAAAACEAtoM4kv4AAADhAQAAEwAAAAAAAAAAAAAAAAAA&#10;AAAAW0NvbnRlbnRfVHlwZXNdLnhtbFBLAQItABQABgAIAAAAIQA4/SH/1gAAAJQBAAALAAAAAAAA&#10;AAAAAAAAAC8BAABfcmVscy8ucmVsc1BLAQItABQABgAIAAAAIQA9ZwLOyAEAAPsDAAAOAAAAAAAA&#10;AAAAAAAAAC4CAABkcnMvZTJvRG9jLnhtbFBLAQItABQABgAIAAAAIQBTayNY3gAAAAkBAAAPAAAA&#10;AAAAAAAAAAAAACIEAABkcnMvZG93bnJldi54bWxQSwUGAAAAAAQABADzAAAALQUAAAAA&#10;" strokecolor="#393737 [814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color w:val="E7E6E6" w:themeColor="background2"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64078" wp14:editId="18E41CB4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83932" id="Rechte verbindingslijn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LOyAEAAPsDAAAOAAAAZHJzL2Uyb0RvYy54bWysU8tu2zAQvBfoPxC813q0DlrBcg4J0ksf&#10;QR8fQFNLiwBfIBnL/vsuV7YctAWKFr1QIrkzszNabW6P1rADxKS963mzqjkDJ/2g3b7n3789vHrL&#10;WcrCDcJ4Bz0/QeK325cvNlPooPWjNwNEhiQudVPo+Zhz6KoqyRGsSCsfwOGl8tGKjNu4r4YoJmS3&#10;pmrr+qaafBxC9BJSwtP7+ZJviV8pkPmzUgkyMz3H3jKtkdZdWavtRnT7KMKo5bkN8Q9dWKEdii5U&#10;9yIL9hT1L1RWy+iTV3klva28UloCeUA3Tf2Tm6+jCEBeMJwUlpjS/6OVnw537jFiDFNIXQqPsbg4&#10;qmjLE/tjRwrrtIQFx8wkHt60Tf3u9ZoziXft+g1lWV2xIab8Hrxl5aXnRrtiRXTi8CFl1MPSS0k5&#10;Nq6syRs9PGhjaFOGAO5MZAeBn2+3b4nAPNmPfpjP2nVdX4RpZko5cT9jQqXCXl0d0ls+GZiVv4Bi&#10;ekBPDQksRLOGkBJcbsqoEBNWF5jCLhdg/Wfgub5AgQbzb8ALgpS9ywvYaufj79Tz8dKymusvCcy+&#10;SwQ7P5zo21M0OGHk8Pw3lBF+vif49Z/d/gAAAP//AwBQSwMEFAAGAAgAAAAhAFNrI1jeAAAACQEA&#10;AA8AAABkcnMvZG93bnJldi54bWxMj0FPwzAMhe9I/IfISNxYsgFjK02nCQmJy5A2dmA3tzFtoXGq&#10;Jl3Lvyc9jZv93tPz53Qz2kacqfO1Yw3zmQJBXDhTc6nh+PF6twLhA7LBxjFp+CUPm+z6KsXEuIH3&#10;dD6EUsQS9glqqEJoEyl9UZFFP3MtcfS+XGcxxLUrpelwiOW2kQulltJizfFChS29VFT8HHqr4bM3&#10;j/vT93v5ltPO4sNxi7v5oPXtzbh9BhFoDJcwTPgRHbLIlLuejReNhsUyBqOspiH665V6ApFPyr0C&#10;maXy/wfZHwAAAP//AwBQSwECLQAUAAYACAAAACEAtoM4kv4AAADhAQAAEwAAAAAAAAAAAAAAAAAA&#10;AAAAW0NvbnRlbnRfVHlwZXNdLnhtbFBLAQItABQABgAIAAAAIQA4/SH/1gAAAJQBAAALAAAAAAAA&#10;AAAAAAAAAC8BAABfcmVscy8ucmVsc1BLAQItABQABgAIAAAAIQA9ZwLOyAEAAPsDAAAOAAAAAAAA&#10;AAAAAAAAAC4CAABkcnMvZTJvRG9jLnhtbFBLAQItABQABgAIAAAAIQBTayNY3gAAAAkBAAAPAAAA&#10;AAAAAAAAAAAAACIEAABkcnMvZG93bnJldi54bWxQSwUGAAAAAAQABADzAAAALQUAAAAA&#10;" strokecolor="#393737 [814]" strokeweight=".5pt">
                <v:stroke joinstyle="miter"/>
              </v:line>
            </w:pict>
          </mc:Fallback>
        </mc:AlternateContent>
      </w:r>
      <w:r w:rsidRPr="00172542">
        <w:rPr>
          <w:rFonts w:asciiTheme="majorHAnsi" w:hAnsiTheme="majorHAnsi" w:cstheme="majorHAnsi"/>
          <w:color w:val="3B3838" w:themeColor="background2" w:themeShade="40"/>
          <w:sz w:val="40"/>
          <w:lang w:val="es-ES"/>
        </w:rPr>
        <w:t>VENUS</w:t>
      </w:r>
      <w:r w:rsidR="00172542" w:rsidRPr="00172542">
        <w:rPr>
          <w:rFonts w:asciiTheme="majorHAnsi" w:hAnsiTheme="majorHAnsi" w:cstheme="majorHAnsi"/>
          <w:color w:val="3B3838" w:themeColor="background2" w:themeShade="40"/>
          <w:sz w:val="40"/>
          <w:lang w:val="es-ES"/>
        </w:rPr>
        <w:br/>
      </w:r>
      <w:r w:rsidRPr="00172542">
        <w:rPr>
          <w:rFonts w:cstheme="minorHAnsi"/>
          <w:b/>
          <w:color w:val="EB8215"/>
          <w:sz w:val="28"/>
          <w:lang w:val="es-ES"/>
        </w:rPr>
        <w:t>Cierrapuertas eléctrico para puertas batientes peatonales</w:t>
      </w:r>
    </w:p>
    <w:p w14:paraId="4BB94C29" w14:textId="3936D567" w:rsidR="007C33F7" w:rsidRDefault="00C96679">
      <w:pPr>
        <w:pStyle w:val="Pa1"/>
        <w:spacing w:before="240" w:after="120"/>
        <w:rPr>
          <w:rFonts w:asciiTheme="majorHAnsi" w:hAnsiTheme="majorHAnsi" w:cs="Calibri Light (Koppen)"/>
          <w:b/>
          <w:color w:val="EB8215"/>
          <w:sz w:val="20"/>
        </w:rPr>
      </w:pPr>
      <w:r>
        <w:rPr>
          <w:rFonts w:asciiTheme="majorHAnsi" w:hAnsiTheme="majorHAnsi" w:cs="Calibri Light (Koppen)"/>
          <w:b/>
          <w:color w:val="EB8215"/>
          <w:sz w:val="20"/>
        </w:rPr>
        <w:t>CARACTERÍSTICAS</w:t>
      </w:r>
    </w:p>
    <w:p w14:paraId="79BF6ED6" w14:textId="3552AB2D" w:rsidR="007C33F7" w:rsidRDefault="00C96679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Cierrapuertas eléctrico. </w:t>
      </w:r>
    </w:p>
    <w:p w14:paraId="0A04883B" w14:textId="05EBD001" w:rsidR="007C33F7" w:rsidRPr="00C96679" w:rsidRDefault="00C96679">
      <w:pPr>
        <w:pStyle w:val="Bullets"/>
        <w:rPr>
          <w:rFonts w:ascii="Calibri" w:hAnsi="Calibri" w:cs="Calibri"/>
          <w:lang w:val="es-ES"/>
        </w:rPr>
      </w:pPr>
      <w:r w:rsidRPr="00C96679">
        <w:rPr>
          <w:rFonts w:ascii="Calibri" w:hAnsi="Calibri" w:cs="Calibri"/>
          <w:lang w:val="es-ES"/>
        </w:rPr>
        <w:t>Con motor reversible sin escobillas</w:t>
      </w:r>
      <w:r>
        <w:rPr>
          <w:rFonts w:ascii="Calibri" w:hAnsi="Calibri" w:cs="Calibri"/>
          <w:lang w:val="es-ES"/>
        </w:rPr>
        <w:t>.</w:t>
      </w:r>
    </w:p>
    <w:p w14:paraId="3388C7DA" w14:textId="63009333" w:rsidR="007C33F7" w:rsidRPr="00172542" w:rsidRDefault="00C96679">
      <w:pPr>
        <w:pStyle w:val="Bullets"/>
        <w:rPr>
          <w:rFonts w:ascii="Calibri" w:hAnsi="Calibri" w:cs="Calibri"/>
          <w:lang w:val="es-ES"/>
        </w:rPr>
      </w:pPr>
      <w:r w:rsidRPr="00172542">
        <w:rPr>
          <w:rFonts w:ascii="Calibri" w:hAnsi="Calibri" w:cs="Calibri"/>
          <w:lang w:val="es-ES"/>
        </w:rPr>
        <w:t>Se puede operar siempre de forma manual.</w:t>
      </w:r>
    </w:p>
    <w:p w14:paraId="188FFAE3" w14:textId="77777777" w:rsidR="007C33F7" w:rsidRPr="00172542" w:rsidRDefault="00C96679">
      <w:pPr>
        <w:pStyle w:val="Bullets"/>
        <w:rPr>
          <w:rFonts w:ascii="Calibri" w:hAnsi="Calibri" w:cs="Calibri"/>
          <w:lang w:val="es-ES"/>
        </w:rPr>
      </w:pPr>
      <w:r w:rsidRPr="00172542">
        <w:rPr>
          <w:rFonts w:ascii="Calibri" w:hAnsi="Calibri" w:cs="Calibri"/>
          <w:lang w:val="es-ES"/>
        </w:rPr>
        <w:t>Apto para puertas de hasta 100 kg y 1400 mm de ancho.</w:t>
      </w:r>
    </w:p>
    <w:p w14:paraId="6698A5BD" w14:textId="723AC195" w:rsidR="007C33F7" w:rsidRPr="00172542" w:rsidRDefault="00C96679">
      <w:pPr>
        <w:pStyle w:val="Bullets"/>
        <w:rPr>
          <w:rFonts w:ascii="Calibri" w:hAnsi="Calibri" w:cs="Calibri"/>
          <w:lang w:val="es-ES"/>
        </w:rPr>
      </w:pPr>
      <w:r w:rsidRPr="00172542">
        <w:rPr>
          <w:rFonts w:ascii="Calibri" w:hAnsi="Calibri" w:cs="Calibri"/>
          <w:lang w:val="es-ES"/>
        </w:rPr>
        <w:t>La potencia máxima del motor es de 150 Nm.</w:t>
      </w:r>
    </w:p>
    <w:p w14:paraId="3CE47B47" w14:textId="3EE0F5AE" w:rsidR="007C33F7" w:rsidRPr="00172542" w:rsidRDefault="00C96679">
      <w:pPr>
        <w:pStyle w:val="Bullets"/>
        <w:rPr>
          <w:rFonts w:ascii="Calibri" w:hAnsi="Calibri" w:cs="Calibri"/>
          <w:lang w:val="es-ES"/>
        </w:rPr>
      </w:pPr>
      <w:r w:rsidRPr="00172542">
        <w:rPr>
          <w:rFonts w:ascii="Calibri" w:hAnsi="Calibri" w:cs="Calibri"/>
          <w:lang w:val="es-ES"/>
        </w:rPr>
        <w:t>Para puertas con un ángulo de apertura de hasta 175°.</w:t>
      </w:r>
    </w:p>
    <w:p w14:paraId="1E2459EB" w14:textId="424877A8" w:rsidR="007C33F7" w:rsidRPr="00172542" w:rsidRDefault="00C96679">
      <w:pPr>
        <w:pStyle w:val="Bullets"/>
        <w:rPr>
          <w:rFonts w:ascii="Calibri" w:hAnsi="Calibri" w:cs="Calibri"/>
          <w:lang w:val="es-ES"/>
        </w:rPr>
      </w:pPr>
      <w:r w:rsidRPr="00172542">
        <w:rPr>
          <w:rFonts w:ascii="Calibri" w:hAnsi="Calibri" w:cs="Calibri"/>
          <w:lang w:val="es-ES"/>
        </w:rPr>
        <w:t xml:space="preserve">La resistencia a la apertura es como máximo de 15 Nm. </w:t>
      </w:r>
    </w:p>
    <w:p w14:paraId="400C0792" w14:textId="1C40C2B1" w:rsidR="007C33F7" w:rsidRPr="00172542" w:rsidRDefault="00C96679">
      <w:pPr>
        <w:pStyle w:val="Bullets"/>
        <w:rPr>
          <w:rFonts w:ascii="Calibri" w:hAnsi="Calibri" w:cs="Calibri"/>
          <w:lang w:val="es-ES"/>
        </w:rPr>
      </w:pPr>
      <w:r w:rsidRPr="00172542">
        <w:rPr>
          <w:rFonts w:ascii="Calibri" w:hAnsi="Calibri" w:cs="Calibri"/>
          <w:lang w:val="es-ES"/>
        </w:rPr>
        <w:t>La velocidad de cierre es ajustable.</w:t>
      </w:r>
    </w:p>
    <w:p w14:paraId="0158222C" w14:textId="7B79CD19" w:rsidR="007C33F7" w:rsidRPr="00172542" w:rsidRDefault="00C96679">
      <w:pPr>
        <w:pStyle w:val="Bullets"/>
        <w:rPr>
          <w:rFonts w:ascii="Calibri" w:hAnsi="Calibri" w:cs="Calibri"/>
          <w:lang w:val="es-ES"/>
        </w:rPr>
      </w:pPr>
      <w:r w:rsidRPr="00172542">
        <w:rPr>
          <w:rFonts w:ascii="Calibri" w:hAnsi="Calibri" w:cs="Calibri"/>
          <w:lang w:val="es-ES"/>
        </w:rPr>
        <w:t>La potencia del motor es ajustable.</w:t>
      </w:r>
    </w:p>
    <w:p w14:paraId="574C701B" w14:textId="1A87816E" w:rsidR="007C33F7" w:rsidRDefault="00C96679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Tiene un amortiguador motorizado.</w:t>
      </w:r>
    </w:p>
    <w:p w14:paraId="4A5E8368" w14:textId="68194D6F" w:rsidR="007C33F7" w:rsidRPr="00172542" w:rsidRDefault="00C96679">
      <w:pPr>
        <w:pStyle w:val="Bullets"/>
        <w:rPr>
          <w:rFonts w:ascii="Calibri" w:hAnsi="Calibri" w:cs="Calibri"/>
          <w:lang w:val="es-ES"/>
        </w:rPr>
      </w:pPr>
      <w:r w:rsidRPr="00172542">
        <w:rPr>
          <w:rFonts w:ascii="Calibri" w:hAnsi="Calibri" w:cs="Calibri"/>
          <w:lang w:val="es-ES"/>
        </w:rPr>
        <w:t>Tiene un modo de arranque/detención lento.</w:t>
      </w:r>
    </w:p>
    <w:p w14:paraId="1BC0C5A1" w14:textId="281C073C" w:rsidR="007C33F7" w:rsidRPr="00172542" w:rsidRDefault="00C96679">
      <w:pPr>
        <w:pStyle w:val="Bullets"/>
        <w:rPr>
          <w:rFonts w:ascii="Calibri" w:hAnsi="Calibri" w:cs="Calibri"/>
          <w:lang w:val="es-ES"/>
        </w:rPr>
      </w:pPr>
      <w:r w:rsidRPr="00172542">
        <w:rPr>
          <w:rFonts w:ascii="Calibri" w:hAnsi="Calibri" w:cs="Calibri"/>
          <w:lang w:val="es-ES"/>
        </w:rPr>
        <w:t>Posibilidad de abrir la puerta con un ligero empujón.</w:t>
      </w:r>
    </w:p>
    <w:p w14:paraId="20C1551D" w14:textId="77777777" w:rsidR="007C33F7" w:rsidRPr="00172542" w:rsidRDefault="00C96679">
      <w:pPr>
        <w:pStyle w:val="Bullets"/>
        <w:rPr>
          <w:rFonts w:ascii="Calibri" w:hAnsi="Calibri" w:cs="Calibri"/>
          <w:lang w:val="es-ES"/>
        </w:rPr>
      </w:pPr>
      <w:r w:rsidRPr="00172542">
        <w:rPr>
          <w:rFonts w:ascii="Calibri" w:hAnsi="Calibri" w:cs="Calibri"/>
          <w:lang w:val="es-ES"/>
        </w:rPr>
        <w:t>Incorpora un sistema de detección de obstáculos.</w:t>
      </w:r>
    </w:p>
    <w:p w14:paraId="33EAF88D" w14:textId="77777777" w:rsidR="007C33F7" w:rsidRPr="00172542" w:rsidRDefault="00C96679">
      <w:pPr>
        <w:pStyle w:val="Bullets"/>
        <w:rPr>
          <w:rFonts w:ascii="Calibri" w:hAnsi="Calibri" w:cs="Calibri"/>
          <w:lang w:val="es-ES"/>
        </w:rPr>
      </w:pPr>
      <w:r w:rsidRPr="00172542">
        <w:rPr>
          <w:rFonts w:ascii="Calibri" w:hAnsi="Calibri" w:cs="Calibri"/>
          <w:lang w:val="es-ES"/>
        </w:rPr>
        <w:t>Incorpora una luz de advertencia.</w:t>
      </w:r>
    </w:p>
    <w:p w14:paraId="335E5FB7" w14:textId="31FA07C9" w:rsidR="007C33F7" w:rsidRPr="00172542" w:rsidRDefault="00C96679">
      <w:pPr>
        <w:pStyle w:val="Bullets"/>
        <w:rPr>
          <w:rFonts w:ascii="Calibri" w:hAnsi="Calibri" w:cs="Calibri"/>
          <w:lang w:val="es-ES"/>
        </w:rPr>
      </w:pPr>
      <w:r w:rsidRPr="00172542">
        <w:rPr>
          <w:rFonts w:ascii="Calibri" w:hAnsi="Calibri" w:cs="Calibri"/>
          <w:lang w:val="es-ES"/>
        </w:rPr>
        <w:t xml:space="preserve">Se puede elegir entre </w:t>
      </w:r>
      <w:r w:rsidR="00D8247D">
        <w:rPr>
          <w:rFonts w:ascii="Calibri" w:hAnsi="Calibri" w:cs="Calibri"/>
          <w:lang w:val="es-ES"/>
        </w:rPr>
        <w:t>3</w:t>
      </w:r>
      <w:r w:rsidRPr="00172542">
        <w:rPr>
          <w:rFonts w:ascii="Calibri" w:hAnsi="Calibri" w:cs="Calibri"/>
          <w:lang w:val="es-ES"/>
        </w:rPr>
        <w:t xml:space="preserve"> tipos de brazos de conexión:</w:t>
      </w:r>
    </w:p>
    <w:p w14:paraId="468AC499" w14:textId="3BB253CA" w:rsidR="007C33F7" w:rsidRPr="00C96679" w:rsidRDefault="00C96679">
      <w:pPr>
        <w:pStyle w:val="Bullets"/>
        <w:numPr>
          <w:ilvl w:val="1"/>
          <w:numId w:val="3"/>
        </w:numPr>
        <w:rPr>
          <w:rFonts w:ascii="Calibri" w:hAnsi="Calibri" w:cs="Calibri"/>
          <w:lang w:val="es-ES"/>
        </w:rPr>
      </w:pPr>
      <w:r w:rsidRPr="00C96679">
        <w:rPr>
          <w:rFonts w:ascii="Calibri" w:hAnsi="Calibri" w:cs="Calibri"/>
          <w:lang w:val="es-ES"/>
        </w:rPr>
        <w:t>Brazo deslizante</w:t>
      </w:r>
      <w:r>
        <w:rPr>
          <w:rFonts w:ascii="Calibri" w:hAnsi="Calibri" w:cs="Calibri"/>
          <w:lang w:val="es-ES"/>
        </w:rPr>
        <w:t xml:space="preserve"> </w:t>
      </w:r>
      <w:r w:rsidRPr="00C96679">
        <w:rPr>
          <w:rFonts w:ascii="Calibri" w:hAnsi="Calibri" w:cs="Calibri"/>
          <w:lang w:val="es-ES"/>
        </w:rPr>
        <w:t>adecuado para combinar con bisagra</w:t>
      </w:r>
      <w:r>
        <w:rPr>
          <w:rFonts w:ascii="Calibri" w:hAnsi="Calibri" w:cs="Calibri"/>
          <w:lang w:val="es-ES"/>
        </w:rPr>
        <w:t>s de 90°</w:t>
      </w:r>
      <w:r w:rsidRPr="00C96679">
        <w:rPr>
          <w:rFonts w:ascii="Calibri" w:hAnsi="Calibri" w:cs="Calibri"/>
          <w:lang w:val="es-ES"/>
        </w:rPr>
        <w:t>.</w:t>
      </w:r>
    </w:p>
    <w:p w14:paraId="54A5089C" w14:textId="1A00D191" w:rsidR="007C33F7" w:rsidRPr="00C96679" w:rsidRDefault="00C96679" w:rsidP="00C96679">
      <w:pPr>
        <w:pStyle w:val="Bullets"/>
        <w:numPr>
          <w:ilvl w:val="1"/>
          <w:numId w:val="3"/>
        </w:numPr>
        <w:rPr>
          <w:rFonts w:ascii="Calibri" w:hAnsi="Calibri" w:cs="Calibri"/>
          <w:lang w:val="es-ES"/>
        </w:rPr>
      </w:pPr>
      <w:r w:rsidRPr="00C96679">
        <w:rPr>
          <w:rFonts w:ascii="Calibri" w:hAnsi="Calibri" w:cs="Calibri"/>
          <w:lang w:val="es-ES"/>
        </w:rPr>
        <w:t>Brazo articulado</w:t>
      </w:r>
      <w:r>
        <w:rPr>
          <w:rFonts w:ascii="Calibri" w:hAnsi="Calibri" w:cs="Calibri"/>
          <w:lang w:val="es-ES"/>
        </w:rPr>
        <w:t xml:space="preserve"> </w:t>
      </w:r>
      <w:r w:rsidRPr="00C96679">
        <w:rPr>
          <w:rFonts w:ascii="Calibri" w:hAnsi="Calibri" w:cs="Calibri"/>
          <w:lang w:val="es-ES"/>
        </w:rPr>
        <w:t>adecuado para combinar con bisagra</w:t>
      </w:r>
      <w:r>
        <w:rPr>
          <w:rFonts w:ascii="Calibri" w:hAnsi="Calibri" w:cs="Calibri"/>
          <w:lang w:val="es-ES"/>
        </w:rPr>
        <w:t>s de 90°, y</w:t>
      </w:r>
      <w:r w:rsidRPr="00C96679">
        <w:rPr>
          <w:rFonts w:ascii="Calibri" w:hAnsi="Calibri" w:cs="Calibri"/>
          <w:lang w:val="es-ES"/>
        </w:rPr>
        <w:t xml:space="preserve"> diseñado para distancias de hasta </w:t>
      </w:r>
      <w:r>
        <w:rPr>
          <w:rFonts w:ascii="Calibri" w:hAnsi="Calibri" w:cs="Calibri"/>
          <w:lang w:val="es-ES"/>
        </w:rPr>
        <w:t>2</w:t>
      </w:r>
      <w:r w:rsidRPr="00C96679">
        <w:rPr>
          <w:rFonts w:ascii="Calibri" w:hAnsi="Calibri" w:cs="Calibri"/>
          <w:lang w:val="es-ES"/>
        </w:rPr>
        <w:t>50 mm entre el motor y el eje de la bisagra.</w:t>
      </w:r>
    </w:p>
    <w:p w14:paraId="4374096B" w14:textId="6C1F4AA5" w:rsidR="00C96679" w:rsidRPr="00C96679" w:rsidRDefault="00C96679">
      <w:pPr>
        <w:pStyle w:val="Bullets"/>
        <w:numPr>
          <w:ilvl w:val="1"/>
          <w:numId w:val="3"/>
        </w:num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Brazo para </w:t>
      </w:r>
      <w:r w:rsidRPr="00C96679">
        <w:rPr>
          <w:rFonts w:ascii="Calibri" w:hAnsi="Calibri" w:cs="Calibri"/>
          <w:lang w:val="es-ES"/>
        </w:rPr>
        <w:t>adecuado para combinar con bisagra</w:t>
      </w:r>
      <w:r>
        <w:rPr>
          <w:rFonts w:ascii="Calibri" w:hAnsi="Calibri" w:cs="Calibri"/>
          <w:lang w:val="es-ES"/>
        </w:rPr>
        <w:t>s de 180°</w:t>
      </w:r>
    </w:p>
    <w:p w14:paraId="2A759041" w14:textId="26C4F4D3" w:rsidR="007C33F7" w:rsidRPr="00C96679" w:rsidRDefault="00C96679">
      <w:pPr>
        <w:pStyle w:val="Bullets"/>
        <w:rPr>
          <w:rFonts w:ascii="Calibri" w:hAnsi="Calibri" w:cs="Calibri"/>
          <w:lang w:val="es-ES"/>
        </w:rPr>
      </w:pPr>
      <w:r w:rsidRPr="00C96679">
        <w:rPr>
          <w:rFonts w:ascii="Calibri" w:hAnsi="Calibri" w:cs="Calibri"/>
          <w:lang w:val="es-ES"/>
        </w:rPr>
        <w:t>Diseñado y fabricado en Europa o Estados Unidos.</w:t>
      </w:r>
    </w:p>
    <w:p w14:paraId="3121C216" w14:textId="7F6596D2" w:rsidR="007C33F7" w:rsidRPr="00C96679" w:rsidRDefault="00C96679">
      <w:pPr>
        <w:pStyle w:val="Bullets"/>
        <w:rPr>
          <w:rFonts w:ascii="Calibri" w:hAnsi="Calibri" w:cs="Calibri"/>
          <w:lang w:val="es-ES"/>
        </w:rPr>
      </w:pPr>
      <w:r w:rsidRPr="00C96679">
        <w:rPr>
          <w:rFonts w:ascii="Calibri" w:hAnsi="Calibri" w:cs="Calibri"/>
          <w:lang w:val="es-ES"/>
        </w:rPr>
        <w:t xml:space="preserve">De acuerdo con las directrices de la ADA (Ley de Estadounidenses con Discapacidades, </w:t>
      </w:r>
      <w:r w:rsidRPr="00C96679">
        <w:rPr>
          <w:rFonts w:ascii="Calibri" w:hAnsi="Calibri" w:cs="Calibri"/>
          <w:i/>
          <w:lang w:val="es-ES"/>
        </w:rPr>
        <w:t>American Disabilities Act</w:t>
      </w:r>
      <w:r w:rsidRPr="00C96679">
        <w:rPr>
          <w:rFonts w:ascii="Calibri" w:hAnsi="Calibri" w:cs="Calibri"/>
          <w:lang w:val="es-ES"/>
        </w:rPr>
        <w:t>).</w:t>
      </w:r>
    </w:p>
    <w:p w14:paraId="7B2BDC49" w14:textId="7757EC4C" w:rsidR="007C33F7" w:rsidRPr="00C96679" w:rsidRDefault="00C96679">
      <w:pPr>
        <w:pStyle w:val="Bullets"/>
        <w:rPr>
          <w:rFonts w:ascii="Calibri" w:hAnsi="Calibri" w:cs="Calibri"/>
          <w:lang w:val="es-ES"/>
        </w:rPr>
      </w:pPr>
      <w:r w:rsidRPr="00C96679">
        <w:rPr>
          <w:rFonts w:ascii="Calibri" w:hAnsi="Calibri" w:cs="Calibri"/>
          <w:lang w:val="es-ES"/>
        </w:rPr>
        <w:t xml:space="preserve">De acuerdo con las directrices de RoSPA (Organización británica, </w:t>
      </w:r>
      <w:r w:rsidRPr="00C96679">
        <w:rPr>
          <w:rFonts w:ascii="Calibri" w:hAnsi="Calibri" w:cs="Calibri"/>
          <w:i/>
          <w:iCs/>
          <w:lang w:val="es-ES"/>
        </w:rPr>
        <w:t>Royal Society for the Prevention of Accidents</w:t>
      </w:r>
      <w:r w:rsidRPr="00C96679">
        <w:rPr>
          <w:rFonts w:ascii="Calibri" w:hAnsi="Calibri" w:cs="Calibri"/>
          <w:lang w:val="es-ES"/>
        </w:rPr>
        <w:t>).</w:t>
      </w:r>
    </w:p>
    <w:p w14:paraId="1564BFFE" w14:textId="3D387789" w:rsidR="007C33F7" w:rsidRPr="00C96679" w:rsidRDefault="00C96679">
      <w:pPr>
        <w:pStyle w:val="Bullets"/>
        <w:rPr>
          <w:rFonts w:ascii="Calibri" w:hAnsi="Calibri" w:cs="Calibri"/>
          <w:color w:val="auto"/>
          <w:lang w:val="es-ES"/>
        </w:rPr>
      </w:pPr>
      <w:r w:rsidRPr="00C96679">
        <w:rPr>
          <w:rFonts w:ascii="Calibri" w:hAnsi="Calibri" w:cs="Calibri"/>
          <w:color w:val="auto"/>
          <w:lang w:val="es-ES"/>
        </w:rPr>
        <w:t>De acuerdo con la norma EN12453 y EN16005 para el uso seguro de sistemas de puertas automáticas.</w:t>
      </w:r>
    </w:p>
    <w:p w14:paraId="17B379C9" w14:textId="4FCABFF3" w:rsidR="007C33F7" w:rsidRPr="00C96679" w:rsidRDefault="00C96679">
      <w:pPr>
        <w:pStyle w:val="Bullets"/>
        <w:rPr>
          <w:rFonts w:ascii="Calibri" w:hAnsi="Calibri" w:cs="Calibri"/>
          <w:color w:val="auto"/>
          <w:lang w:val="es-ES"/>
        </w:rPr>
      </w:pPr>
      <w:r w:rsidRPr="00C96679">
        <w:rPr>
          <w:rFonts w:ascii="Calibri" w:hAnsi="Calibri" w:cs="Calibri"/>
          <w:color w:val="auto"/>
          <w:lang w:val="es-ES"/>
        </w:rPr>
        <w:t>Debe combinarse con una cerradura eléctrica o mecánica.</w:t>
      </w:r>
    </w:p>
    <w:p w14:paraId="248C6131" w14:textId="77777777" w:rsidR="007C33F7" w:rsidRPr="00C96679" w:rsidRDefault="00C96679">
      <w:pPr>
        <w:pStyle w:val="Bullets"/>
        <w:rPr>
          <w:rFonts w:ascii="Calibri" w:hAnsi="Calibri" w:cs="Calibri"/>
          <w:color w:val="auto"/>
          <w:lang w:val="es-ES"/>
        </w:rPr>
      </w:pPr>
      <w:r w:rsidRPr="00C96679">
        <w:rPr>
          <w:rFonts w:ascii="Calibri" w:hAnsi="Calibri" w:cs="Calibri"/>
          <w:color w:val="auto"/>
          <w:lang w:val="es-ES"/>
        </w:rPr>
        <w:t>Para una apertura totalmente automática, debe combinarse con una placa de cierre electromagnética, una cerradura mecánica con cerradero eléctrico o un pasador eléctrico.</w:t>
      </w:r>
    </w:p>
    <w:p w14:paraId="30B13BB5" w14:textId="1087CF56" w:rsidR="007C33F7" w:rsidRPr="00C96679" w:rsidRDefault="00C96679">
      <w:pPr>
        <w:pStyle w:val="Bullets"/>
        <w:rPr>
          <w:rFonts w:ascii="Calibri" w:hAnsi="Calibri" w:cs="Calibri"/>
          <w:lang w:val="es-ES"/>
        </w:rPr>
      </w:pPr>
      <w:r w:rsidRPr="00C96679">
        <w:rPr>
          <w:rFonts w:ascii="Calibri" w:hAnsi="Calibri" w:cs="Calibri"/>
          <w:lang w:val="es-ES"/>
        </w:rPr>
        <w:t>Disponible en color negro o plata.</w:t>
      </w:r>
    </w:p>
    <w:p w14:paraId="1A4C57D0" w14:textId="7CA42E49" w:rsidR="007C33F7" w:rsidRDefault="00C96679">
      <w:pPr>
        <w:pStyle w:val="Pa1"/>
        <w:spacing w:before="240" w:after="120"/>
        <w:rPr>
          <w:rFonts w:asciiTheme="majorHAnsi" w:hAnsiTheme="majorHAnsi" w:cs="Calibri Light (Koppen)"/>
          <w:b/>
          <w:color w:val="EB8215"/>
          <w:sz w:val="20"/>
        </w:rPr>
      </w:pPr>
      <w:r>
        <w:rPr>
          <w:rFonts w:asciiTheme="majorHAnsi" w:hAnsiTheme="majorHAnsi" w:cs="Calibri Light (Koppen)"/>
          <w:b/>
          <w:color w:val="EB8215"/>
          <w:sz w:val="20"/>
        </w:rPr>
        <w:t>PRESTACIONES</w:t>
      </w:r>
    </w:p>
    <w:p w14:paraId="36698EDE" w14:textId="70827A20" w:rsidR="007C33F7" w:rsidRPr="00C96679" w:rsidRDefault="00C96679">
      <w:pPr>
        <w:pStyle w:val="Bullets"/>
        <w:rPr>
          <w:rFonts w:ascii="Calibri" w:hAnsi="Calibri" w:cs="Calibri"/>
          <w:lang w:val="es-ES"/>
        </w:rPr>
      </w:pPr>
      <w:r w:rsidRPr="00C96679">
        <w:rPr>
          <w:rFonts w:ascii="Calibri" w:hAnsi="Calibri" w:cs="Calibri"/>
          <w:lang w:val="es-ES"/>
        </w:rPr>
        <w:t>Diseñado específicamente para uso en exteriores.</w:t>
      </w:r>
    </w:p>
    <w:p w14:paraId="208E9136" w14:textId="77777777" w:rsidR="007C33F7" w:rsidRPr="00C96679" w:rsidRDefault="00C96679">
      <w:pPr>
        <w:pStyle w:val="Bullets"/>
        <w:rPr>
          <w:rFonts w:ascii="Calibri" w:hAnsi="Calibri" w:cs="Calibri"/>
          <w:lang w:val="es-ES"/>
        </w:rPr>
      </w:pPr>
      <w:r w:rsidRPr="00C96679">
        <w:rPr>
          <w:rFonts w:ascii="Calibri" w:hAnsi="Calibri" w:cs="Calibri"/>
          <w:lang w:val="es-ES"/>
        </w:rPr>
        <w:t>Resistente a la intemperie y al polvo.</w:t>
      </w:r>
    </w:p>
    <w:p w14:paraId="329E47B3" w14:textId="59FFE519" w:rsidR="007C33F7" w:rsidRDefault="00C96679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Clasificación IP55. </w:t>
      </w:r>
    </w:p>
    <w:p w14:paraId="14E821AA" w14:textId="3E194D52" w:rsidR="007C33F7" w:rsidRPr="00C96679" w:rsidRDefault="00C96679">
      <w:pPr>
        <w:pStyle w:val="Bullets"/>
        <w:rPr>
          <w:rFonts w:ascii="Calibri" w:hAnsi="Calibri" w:cs="Calibri"/>
          <w:lang w:val="es-ES"/>
        </w:rPr>
      </w:pPr>
      <w:r w:rsidRPr="00C96679">
        <w:rPr>
          <w:rFonts w:ascii="Calibri" w:hAnsi="Calibri" w:cs="Calibri"/>
          <w:lang w:val="es-ES"/>
        </w:rPr>
        <w:t>Sin mantenimiento (no hace falta lubricar ni añadir aceite).</w:t>
      </w:r>
      <w:r w:rsidRPr="00C96679">
        <w:rPr>
          <w:rFonts w:ascii="Calibri" w:hAnsi="Calibri" w:cs="Calibri"/>
          <w:i/>
          <w:iCs/>
          <w:lang w:val="es-ES"/>
        </w:rPr>
        <w:t xml:space="preserve"> Compruebe siempre los requisitos de seguridad específicos impuestos por las autoridades locales.</w:t>
      </w:r>
    </w:p>
    <w:p w14:paraId="7DE3D938" w14:textId="040A8D99" w:rsidR="007C33F7" w:rsidRPr="00C96679" w:rsidRDefault="00C96679">
      <w:pPr>
        <w:pStyle w:val="Bullets"/>
        <w:rPr>
          <w:rFonts w:ascii="Calibri" w:hAnsi="Calibri" w:cs="Calibri"/>
          <w:lang w:val="es-ES"/>
        </w:rPr>
      </w:pPr>
      <w:r w:rsidRPr="00C96679">
        <w:rPr>
          <w:rFonts w:ascii="Calibri" w:hAnsi="Calibri" w:cs="Calibri"/>
          <w:lang w:val="es-ES"/>
        </w:rPr>
        <w:t>Garantía del fabricante de 2 años.</w:t>
      </w:r>
    </w:p>
    <w:p w14:paraId="581BE1AC" w14:textId="4AC95A25" w:rsidR="007C33F7" w:rsidRDefault="00C96679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Probado para 500 000 movimientos.</w:t>
      </w:r>
    </w:p>
    <w:p w14:paraId="29114802" w14:textId="1AFE5D88" w:rsidR="007C33F7" w:rsidRDefault="00C96679">
      <w:pPr>
        <w:pStyle w:val="Pa1"/>
        <w:spacing w:before="240" w:after="120"/>
        <w:rPr>
          <w:rFonts w:asciiTheme="majorHAnsi" w:hAnsiTheme="majorHAnsi" w:cs="Calibri Light (Koppen)"/>
          <w:b/>
          <w:color w:val="EB8215"/>
          <w:sz w:val="20"/>
        </w:rPr>
      </w:pPr>
      <w:r>
        <w:rPr>
          <w:rFonts w:asciiTheme="majorHAnsi" w:hAnsiTheme="majorHAnsi" w:cs="Calibri Light (Koppen)"/>
          <w:b/>
          <w:color w:val="EB8215"/>
          <w:sz w:val="20"/>
        </w:rPr>
        <w:t>INSTALACIÓN</w:t>
      </w:r>
    </w:p>
    <w:p w14:paraId="5029F935" w14:textId="77777777" w:rsidR="007C33F7" w:rsidRPr="00C96679" w:rsidRDefault="00C96679">
      <w:pPr>
        <w:pStyle w:val="Bullets"/>
        <w:rPr>
          <w:rFonts w:ascii="Calibri" w:hAnsi="Calibri" w:cs="Calibri"/>
          <w:lang w:val="es-ES"/>
        </w:rPr>
      </w:pPr>
      <w:r w:rsidRPr="00C96679">
        <w:rPr>
          <w:rFonts w:ascii="Calibri" w:hAnsi="Calibri" w:cs="Calibri"/>
          <w:lang w:val="es-ES"/>
        </w:rPr>
        <w:t>Para perfiles de puerta de al menos 80 mm y con un espesor de material de acero de al menos 2 mm.</w:t>
      </w:r>
    </w:p>
    <w:p w14:paraId="21C2E157" w14:textId="76C8340D" w:rsidR="007C33F7" w:rsidRDefault="00C96679">
      <w:pPr>
        <w:pStyle w:val="Bullets"/>
        <w:rPr>
          <w:rFonts w:ascii="Calibri" w:hAnsi="Calibri" w:cs="Calibri"/>
          <w:lang w:val="es-ES"/>
        </w:rPr>
      </w:pPr>
      <w:r w:rsidRPr="00C96679">
        <w:rPr>
          <w:rFonts w:ascii="Calibri" w:hAnsi="Calibri" w:cs="Calibri"/>
          <w:lang w:val="es-ES"/>
        </w:rPr>
        <w:t>Para montar en perforaciones de 15 mm (pretaladrados con una plantilla de perforación).</w:t>
      </w:r>
    </w:p>
    <w:p w14:paraId="1203D498" w14:textId="5E81ACA6" w:rsidR="00C96679" w:rsidRPr="00C96679" w:rsidRDefault="00C96679">
      <w:pPr>
        <w:pStyle w:val="Bullets"/>
        <w:rPr>
          <w:rFonts w:ascii="Calibri" w:hAnsi="Calibri" w:cs="Calibri"/>
          <w:lang w:val="es-ES"/>
        </w:rPr>
      </w:pPr>
      <w:r w:rsidRPr="00C96679">
        <w:rPr>
          <w:rFonts w:ascii="Calibri" w:hAnsi="Calibri" w:cs="Calibri"/>
          <w:lang w:val="es-ES"/>
        </w:rPr>
        <w:t>Para la instalación en perfiles de puerta de mínimo 60 mm, o en paredes, está disponible una placa adaptadora VENUS</w:t>
      </w:r>
    </w:p>
    <w:p w14:paraId="3BB07157" w14:textId="4081429E" w:rsidR="007C33F7" w:rsidRPr="00C96679" w:rsidRDefault="00C96679">
      <w:pPr>
        <w:pStyle w:val="Bullets"/>
        <w:rPr>
          <w:rFonts w:ascii="Calibri" w:hAnsi="Calibri" w:cs="Calibri"/>
          <w:lang w:val="es-ES"/>
        </w:rPr>
      </w:pPr>
      <w:r w:rsidRPr="00C96679">
        <w:rPr>
          <w:rFonts w:ascii="Calibri" w:hAnsi="Calibri" w:cs="Calibri"/>
          <w:lang w:val="es-ES"/>
        </w:rPr>
        <w:lastRenderedPageBreak/>
        <w:t xml:space="preserve">Para la instalación </w:t>
      </w:r>
      <w:r>
        <w:rPr>
          <w:rFonts w:ascii="Calibri" w:hAnsi="Calibri" w:cs="Calibri"/>
          <w:lang w:val="es-ES"/>
        </w:rPr>
        <w:t xml:space="preserve">VENUS-S o VENUS-A </w:t>
      </w:r>
      <w:r w:rsidRPr="00C96679">
        <w:rPr>
          <w:rFonts w:ascii="Calibri" w:hAnsi="Calibri" w:cs="Calibri"/>
          <w:lang w:val="es-ES"/>
        </w:rPr>
        <w:t>en puertas con bisagra de 180°, hay disponible un accesorio VENUS-RAIL que permite montar el motor Venus debajo de la bisagra.</w:t>
      </w:r>
    </w:p>
    <w:p w14:paraId="0926ABD1" w14:textId="3B3A03CC" w:rsidR="007C33F7" w:rsidRPr="00C96679" w:rsidRDefault="00C96679">
      <w:pPr>
        <w:pStyle w:val="Bullets"/>
        <w:rPr>
          <w:rFonts w:ascii="Calibri" w:hAnsi="Calibri" w:cs="Calibri"/>
          <w:lang w:val="es-ES"/>
        </w:rPr>
      </w:pPr>
      <w:r w:rsidRPr="00C96679">
        <w:rPr>
          <w:rFonts w:ascii="Calibri" w:hAnsi="Calibri" w:cs="Calibri"/>
          <w:lang w:val="es-ES"/>
        </w:rPr>
        <w:t xml:space="preserve">Apto para puertas batientes tanto a la izquierda como a la derecha. </w:t>
      </w:r>
    </w:p>
    <w:p w14:paraId="7FC92B4D" w14:textId="00EDFB11" w:rsidR="007C33F7" w:rsidRPr="00C96679" w:rsidRDefault="00C96679">
      <w:pPr>
        <w:pStyle w:val="Bullets"/>
        <w:rPr>
          <w:rFonts w:ascii="Calibri" w:hAnsi="Calibri" w:cs="Calibri"/>
          <w:lang w:val="es-ES"/>
        </w:rPr>
      </w:pPr>
      <w:r w:rsidRPr="00C96679">
        <w:rPr>
          <w:rFonts w:ascii="Calibri" w:hAnsi="Calibri" w:cs="Calibri"/>
          <w:lang w:val="es-ES"/>
        </w:rPr>
        <w:t>Requiere una placa regulable o cerradero para la determinación de la posición cero.</w:t>
      </w:r>
    </w:p>
    <w:p w14:paraId="2B9A376F" w14:textId="1A9C9768" w:rsidR="007C33F7" w:rsidRPr="00C96679" w:rsidRDefault="00C96679">
      <w:pPr>
        <w:pStyle w:val="Bullets"/>
        <w:rPr>
          <w:rFonts w:ascii="Calibri" w:hAnsi="Calibri" w:cs="Calibri"/>
          <w:lang w:val="es-ES"/>
        </w:rPr>
      </w:pPr>
      <w:r w:rsidRPr="00C96679">
        <w:rPr>
          <w:rFonts w:ascii="Calibri" w:hAnsi="Calibri" w:cs="Calibri"/>
          <w:lang w:val="es-ES"/>
        </w:rPr>
        <w:t>No requiere sensores de seguridad gracias al modo estándar de bajo consumo.</w:t>
      </w:r>
    </w:p>
    <w:p w14:paraId="564D743D" w14:textId="17EC09D8" w:rsidR="007C33F7" w:rsidRPr="00C96679" w:rsidRDefault="00C96679">
      <w:pPr>
        <w:pStyle w:val="Bullets"/>
        <w:rPr>
          <w:rFonts w:ascii="Calibri" w:hAnsi="Calibri" w:cs="Calibri"/>
          <w:lang w:val="es-ES"/>
        </w:rPr>
      </w:pPr>
      <w:r w:rsidRPr="00C96679">
        <w:rPr>
          <w:rFonts w:ascii="Calibri" w:hAnsi="Calibri" w:cs="Calibri"/>
          <w:lang w:val="es-ES"/>
        </w:rPr>
        <w:t xml:space="preserve">El vídeo de instalación en 3D está disponible a través de una aplicación. </w:t>
      </w:r>
    </w:p>
    <w:p w14:paraId="3DF7739F" w14:textId="1009972F" w:rsidR="007C33F7" w:rsidRPr="00C96679" w:rsidRDefault="00C96679">
      <w:pPr>
        <w:pStyle w:val="Bullets"/>
        <w:rPr>
          <w:rFonts w:ascii="Calibri" w:hAnsi="Calibri" w:cs="Calibri"/>
          <w:lang w:val="es-ES"/>
        </w:rPr>
      </w:pPr>
      <w:r w:rsidRPr="00C96679">
        <w:rPr>
          <w:rFonts w:ascii="Calibri" w:hAnsi="Calibri" w:cs="Calibri"/>
          <w:lang w:val="es-ES"/>
        </w:rPr>
        <w:t>3 entradas configurables para la conexión de sensores de control de acceso y seguridad, etc.</w:t>
      </w:r>
    </w:p>
    <w:p w14:paraId="3857031C" w14:textId="3197C1BF" w:rsidR="007C33F7" w:rsidRPr="00C96679" w:rsidRDefault="00C96679">
      <w:pPr>
        <w:pStyle w:val="Bullets"/>
        <w:rPr>
          <w:rFonts w:ascii="Calibri" w:hAnsi="Calibri" w:cs="Calibri"/>
          <w:lang w:val="es-ES"/>
        </w:rPr>
      </w:pPr>
      <w:r w:rsidRPr="00C96679">
        <w:rPr>
          <w:rFonts w:ascii="Calibri" w:hAnsi="Calibri" w:cs="Calibri"/>
          <w:lang w:val="es-ES"/>
        </w:rPr>
        <w:t>3 salidas configurables para la conexión de un cerradero eléctrico, una placa de cierre electromagnética, una luz de advertencia o ambiental y una fuente de alimentación fija de 24 V CC.</w:t>
      </w:r>
    </w:p>
    <w:p w14:paraId="063868CC" w14:textId="74A277F6" w:rsidR="007C33F7" w:rsidRPr="00C96679" w:rsidRDefault="007C33F7">
      <w:pPr>
        <w:spacing w:after="0" w:line="240" w:lineRule="auto"/>
        <w:rPr>
          <w:rFonts w:asciiTheme="majorHAnsi" w:hAnsiTheme="majorHAnsi" w:cs="Calibri Light (Koppen)"/>
          <w:b/>
          <w:color w:val="EB8215"/>
          <w:sz w:val="20"/>
          <w:lang w:val="es-ES"/>
        </w:rPr>
      </w:pPr>
    </w:p>
    <w:p w14:paraId="2E0F0774" w14:textId="45667236" w:rsidR="007C33F7" w:rsidRDefault="00C96679">
      <w:pPr>
        <w:pStyle w:val="Pa1"/>
        <w:spacing w:before="240" w:after="120"/>
        <w:rPr>
          <w:rFonts w:asciiTheme="majorHAnsi" w:hAnsiTheme="majorHAnsi" w:cs="Calibri Light (Koppen)"/>
          <w:b/>
          <w:color w:val="EB8215"/>
          <w:sz w:val="20"/>
        </w:rPr>
      </w:pPr>
      <w:r>
        <w:rPr>
          <w:rFonts w:asciiTheme="majorHAnsi" w:hAnsiTheme="majorHAnsi" w:cs="Calibri Light (Koppen)"/>
          <w:b/>
          <w:color w:val="EB8215"/>
          <w:sz w:val="20"/>
        </w:rPr>
        <w:t>CONFIGURACIÓN</w:t>
      </w:r>
    </w:p>
    <w:p w14:paraId="01588A36" w14:textId="34E4F2EA" w:rsidR="007C33F7" w:rsidRPr="00C96679" w:rsidRDefault="00C96679">
      <w:pPr>
        <w:pStyle w:val="Bullets"/>
        <w:rPr>
          <w:rFonts w:ascii="Calibri" w:hAnsi="Calibri" w:cs="Calibri"/>
          <w:lang w:val="es-ES"/>
        </w:rPr>
      </w:pPr>
      <w:r w:rsidRPr="00C96679">
        <w:rPr>
          <w:rFonts w:ascii="Calibri" w:hAnsi="Calibri" w:cs="Calibri"/>
          <w:lang w:val="es-ES"/>
        </w:rPr>
        <w:t>Programación por medio de una aplicación</w:t>
      </w:r>
    </w:p>
    <w:p w14:paraId="03096BB7" w14:textId="6FF2AE5B" w:rsidR="007C33F7" w:rsidRPr="00C96679" w:rsidRDefault="00C96679">
      <w:pPr>
        <w:pStyle w:val="Bullets"/>
        <w:rPr>
          <w:rFonts w:ascii="Calibri" w:hAnsi="Calibri" w:cs="Calibri"/>
          <w:lang w:val="es-ES"/>
        </w:rPr>
      </w:pPr>
      <w:r w:rsidRPr="00C96679">
        <w:rPr>
          <w:rFonts w:ascii="Calibri" w:hAnsi="Calibri" w:cs="Calibri"/>
          <w:lang w:val="es-ES"/>
        </w:rPr>
        <w:t>Guía paso a paso con instrucciones en vídeo disponibles dentro de la aplicación</w:t>
      </w:r>
    </w:p>
    <w:p w14:paraId="64FA858C" w14:textId="7B32535B" w:rsidR="007C33F7" w:rsidRPr="00C96679" w:rsidRDefault="00C96679">
      <w:pPr>
        <w:pStyle w:val="Bullets"/>
        <w:rPr>
          <w:rFonts w:ascii="Calibri" w:hAnsi="Calibri" w:cs="Calibri"/>
          <w:lang w:val="es-ES"/>
        </w:rPr>
      </w:pPr>
      <w:r w:rsidRPr="00C96679">
        <w:rPr>
          <w:rFonts w:ascii="Calibri" w:hAnsi="Calibri" w:cs="Calibri"/>
          <w:lang w:val="es-ES"/>
        </w:rPr>
        <w:t>La aplicación está disponible para iOS y Android</w:t>
      </w:r>
    </w:p>
    <w:p w14:paraId="51ED780C" w14:textId="6A4F5ABA" w:rsidR="007C33F7" w:rsidRDefault="00C96679">
      <w:pPr>
        <w:pStyle w:val="Pa1"/>
        <w:spacing w:before="240" w:after="120"/>
      </w:pPr>
      <w:r>
        <w:rPr>
          <w:rFonts w:asciiTheme="majorHAnsi" w:hAnsiTheme="majorHAnsi" w:cs="Calibri Light (Koppen)"/>
          <w:b/>
          <w:color w:val="EB8215"/>
          <w:sz w:val="20"/>
        </w:rPr>
        <w:t>MATERIAL</w:t>
      </w:r>
    </w:p>
    <w:p w14:paraId="48BA98CF" w14:textId="150CCD46" w:rsidR="007C33F7" w:rsidRDefault="00C96679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Carcasa de aluminio anodizado. </w:t>
      </w:r>
    </w:p>
    <w:p w14:paraId="3FAF84E0" w14:textId="450CD0F0" w:rsidR="007C33F7" w:rsidRPr="00C96679" w:rsidRDefault="00C96679">
      <w:pPr>
        <w:pStyle w:val="Bullets"/>
        <w:rPr>
          <w:rFonts w:ascii="Calibri" w:hAnsi="Calibri" w:cs="Calibri"/>
          <w:lang w:val="es-ES"/>
        </w:rPr>
      </w:pPr>
      <w:r w:rsidRPr="00C96679">
        <w:rPr>
          <w:rFonts w:ascii="Calibri" w:hAnsi="Calibri" w:cs="Calibri"/>
          <w:lang w:val="es-ES"/>
        </w:rPr>
        <w:t>Resistencia a la corrosión de 500 horas en prueba de niebla salina, según la norma ISO 9227.</w:t>
      </w:r>
    </w:p>
    <w:p w14:paraId="483B4F4C" w14:textId="1D48E419" w:rsidR="007C33F7" w:rsidRPr="00C96679" w:rsidRDefault="00C96679">
      <w:pPr>
        <w:pStyle w:val="Bullets"/>
        <w:spacing w:after="0"/>
        <w:rPr>
          <w:lang w:val="es-ES"/>
        </w:rPr>
      </w:pPr>
      <w:r w:rsidRPr="00C96679">
        <w:rPr>
          <w:rFonts w:ascii="Calibri" w:hAnsi="Calibri" w:cs="Calibri"/>
          <w:lang w:val="es-ES"/>
        </w:rPr>
        <w:t xml:space="preserve">Resistente a los rayos UV y no destiñe. </w:t>
      </w:r>
      <w:bookmarkEnd w:id="0"/>
    </w:p>
    <w:sectPr w:rsidR="007C33F7" w:rsidRPr="00C96679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62574" w14:textId="77777777" w:rsidR="00985200" w:rsidRDefault="00985200">
      <w:pPr>
        <w:spacing w:after="0" w:line="240" w:lineRule="auto"/>
      </w:pPr>
      <w:r>
        <w:separator/>
      </w:r>
    </w:p>
  </w:endnote>
  <w:endnote w:type="continuationSeparator" w:id="0">
    <w:p w14:paraId="66EDB4E2" w14:textId="77777777" w:rsidR="00985200" w:rsidRDefault="0098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1E29" w14:textId="77777777" w:rsidR="007C33F7" w:rsidRDefault="00C96679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7C33F7" w:rsidRDefault="00C96679">
                          <w:pPr>
                            <w:pStyle w:val="Pa0"/>
                            <w:jc w:val="right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20"/>
                            </w:rPr>
                          </w:pPr>
                          <w:r>
                            <w:rPr>
                              <w:rStyle w:val="A1"/>
                              <w:rFonts w:asciiTheme="minorHAnsi" w:hAnsiTheme="minorHAnsi" w:cstheme="minorHAnsi"/>
                              <w:color w:val="262626" w:themeColor="text1" w:themeTint="D9"/>
                            </w:rPr>
                            <w:t>Mannebeekstraat 21, 8790 Waregem - Bélgica</w:t>
                          </w:r>
                        </w:p>
                        <w:p w14:paraId="698664CC" w14:textId="28573F8B" w:rsidR="007C33F7" w:rsidRDefault="00C96679">
                          <w:pPr>
                            <w:jc w:val="right"/>
                            <w:rPr>
                              <w:rFonts w:cstheme="minorHAnsi"/>
                              <w:color w:val="EB8215"/>
                            </w:rPr>
                          </w:pPr>
                          <w:r>
                            <w:rPr>
                              <w:rStyle w:val="A1"/>
                              <w:rFonts w:asciiTheme="minorHAnsi" w:hAnsiTheme="minorHAnsi" w:cstheme="minorHAnsi"/>
                              <w:color w:val="262626" w:themeColor="text1" w:themeTint="D9"/>
                            </w:rPr>
                            <w:t xml:space="preserve">Tel. +32(0)56 77 27 66, Fax. +32(0)56 77 69 26, info@locinox.com, </w:t>
                          </w:r>
                          <w:r>
                            <w:rPr>
                              <w:rStyle w:val="A1"/>
                              <w:rFonts w:asciiTheme="minorHAnsi" w:hAnsiTheme="minorHAnsi" w:cstheme="minorHAnsi"/>
                              <w:b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+feXwIAADQFAAAOAAAAZHJzL2Uyb0RvYy54bWysVN9v2jAQfp+0/8Hy+wh0sG4RoWJUTJNQ&#10;W41OfTaOXaI5Ps8+SNhf37MTKOv20mkvyfl++e677zy9amvD9sqHCmzBR4MhZ8pKKCv7WPDv98t3&#10;HzkLKGwpDFhV8IMK/Gr29s20cbm6gC2YUnlGSWzIG1fwLaLLsyzIrapFGIBTlowafC2Qjv4xK71o&#10;KHttsovh8EPWgC+dB6lCIO11Z+SzlF9rJfFW66CQmYJTbZi+Pn038ZvNpiJ/9MJtK9mXIf6hilpU&#10;li49pboWKNjOV3+kqivpIYDGgYQ6A60rqVIP1M1o+KKb9VY4lXohcII7wRT+X1p5s1+7O8+w/Qwt&#10;DTAC0riQB1LGflrt6/inShnZCcLDCTbVIpOkfE+DGA/JJMk2uRxNSKY02XO08wG/KKhZFAruaSwJ&#10;LbFfBexcjy7xMgvLypg0GmN/U1DOTqPSbPvo54KThAejYpSx35RmVZnqjorEKrUwnu0F8UFIqSym&#10;llNe8o5emu5+TWDvH0O7ql4TfIpIN4PFU3BdWfAJpRdllz+OJevOn6A+6zuK2G7afpAbKA80Xw8d&#10;9YOTy4qGsBIB74QnrtPcaH/xlj7aQFNw6CXOtuB//U0f/YmCZOWsod0pePi5E15xZr5aIuen0Xgc&#10;ly0dxpPLCzr4c8vm3GJ39QJoHCN6KZxMYvRHcxS1h/qB1nwebyWTsJLuLjgexQV2G03PhFTzeXKi&#10;9XICV3btZEwd4Y0Uu28fhHc9D5EYfAPHLRP5Czp2vjHSwnyHoKvE1Qhwh2oPPK1mYnv/jMTdPz8n&#10;r+fHbvYEAAD//wMAUEsDBBQABgAIAAAAIQA8KZdV3QAAAAkBAAAPAAAAZHJzL2Rvd25yZXYueG1s&#10;TI/NTsMwEITvSLyDtUjcWjsoICfNpkIgriDKj9SbG7tJRLyOYrcJb89yguPOjma+qbaLH8TZTbEP&#10;hJCtFQhHTbA9tQjvb08rDSImQ9YMgRzCt4uwrS8vKlPaMNOrO+9SKziEYmkQupTGUsrYdM6buA6j&#10;I/4dw+RN4nNqpZ3MzOF+kDdK3UlveuKGzozuoXPN1+7kET6ej/vPXL20j/52nMOiJPlCIl5fLfcb&#10;EMkt6c8Mv/iMDjUzHcKJbBQDQq5zRk8IqywDwYZCaxYOCFoXIOtK/l9Q/wAAAP//AwBQSwECLQAU&#10;AAYACAAAACEAtoM4kv4AAADhAQAAEwAAAAAAAAAAAAAAAAAAAAAAW0NvbnRlbnRfVHlwZXNdLnht&#10;bFBLAQItABQABgAIAAAAIQA4/SH/1gAAAJQBAAALAAAAAAAAAAAAAAAAAC8BAABfcmVscy8ucmVs&#10;c1BLAQItABQABgAIAAAAIQAEi+feXwIAADQFAAAOAAAAAAAAAAAAAAAAAC4CAABkcnMvZTJvRG9j&#10;LnhtbFBLAQItABQABgAIAAAAIQA8KZdV3QAAAAkBAAAPAAAAAAAAAAAAAAAAALkEAABkcnMvZG93&#10;bnJldi54bWxQSwUGAAAAAAQABADzAAAAwwUAAAAA&#10;" filled="f" stroked="f">
              <v:textbox>
                <w:txbxContent>
                  <w:p w14:paraId="5119E581" w14:textId="77777777" w:rsidR="007C33F7" w:rsidRDefault="00C96679">
                    <w:pPr>
                      <w:pStyle w:val="Pa0"/>
                      <w:jc w:val="right"/>
                      <w:rPr>
                        <w:rFonts w:asciiTheme="minorHAnsi" w:hAnsiTheme="minorHAnsi" w:cstheme="minorHAnsi"/>
                        <w:color w:val="262626" w:themeColor="text1" w:themeTint="D9"/>
                        <w:sz w:val="20"/>
                      </w:rPr>
                    </w:pPr>
                    <w:r>
                      <w:rPr>
                        <w:rStyle w:val="A1"/>
                        <w:rFonts w:asciiTheme="minorHAnsi" w:hAnsiTheme="minorHAnsi" w:cstheme="minorHAnsi"/>
                        <w:color w:val="262626" w:themeColor="text1" w:themeTint="D9"/>
                      </w:rPr>
                      <w:t xml:space="preserve">Mannebeekstraat 21, 8790 Waregem - </w:t>
                    </w:r>
                    <w:proofErr w:type="spellStart"/>
                    <w:r>
                      <w:rPr>
                        <w:rStyle w:val="A1"/>
                        <w:rFonts w:asciiTheme="minorHAnsi" w:hAnsiTheme="minorHAnsi" w:cstheme="minorHAnsi"/>
                        <w:color w:val="262626" w:themeColor="text1" w:themeTint="D9"/>
                      </w:rPr>
                      <w:t>Bélgica</w:t>
                    </w:r>
                    <w:proofErr w:type="spellEnd"/>
                  </w:p>
                  <w:p w14:paraId="698664CC" w14:textId="28573F8B" w:rsidR="007C33F7" w:rsidRDefault="00C96679">
                    <w:pPr>
                      <w:jc w:val="right"/>
                      <w:rPr>
                        <w:rFonts w:cstheme="minorHAnsi"/>
                        <w:color w:val="EB8215"/>
                      </w:rPr>
                    </w:pPr>
                    <w:r>
                      <w:rPr>
                        <w:rStyle w:val="A1"/>
                        <w:rFonts w:asciiTheme="minorHAnsi" w:hAnsiTheme="minorHAnsi" w:cstheme="minorHAnsi"/>
                        <w:color w:val="262626" w:themeColor="text1" w:themeTint="D9"/>
                      </w:rPr>
                      <w:t xml:space="preserve">Tel. +32(0)56 77 27 66, Fax. +32(0)56 77 69 26, info@locinox.com, </w:t>
                    </w:r>
                    <w:r>
                      <w:rPr>
                        <w:rStyle w:val="A1"/>
                        <w:rFonts w:asciiTheme="minorHAnsi" w:hAnsiTheme="minorHAnsi" w:cstheme="minorHAnsi"/>
                        <w:b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5077E2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2pt" to="489.0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LOyAEAAPsDAAAOAAAAZHJzL2Uyb0RvYy54bWysU8tu2zAQvBfoPxC813q0DlrBcg4J0ksf&#10;QR8fQFNLiwBfIBnL/vsuV7YctAWKFr1QIrkzszNabW6P1rADxKS963mzqjkDJ/2g3b7n3789vHrL&#10;WcrCDcJ4Bz0/QeK325cvNlPooPWjNwNEhiQudVPo+Zhz6KoqyRGsSCsfwOGl8tGKjNu4r4YoJmS3&#10;pmrr+qaafBxC9BJSwtP7+ZJviV8pkPmzUgkyMz3H3jKtkdZdWavtRnT7KMKo5bkN8Q9dWKEdii5U&#10;9yIL9hT1L1RWy+iTV3klva28UloCeUA3Tf2Tm6+jCEBeMJwUlpjS/6OVnw537jFiDFNIXQqPsbg4&#10;qmjLE/tjRwrrtIQFx8wkHt60Tf3u9ZoziXft+g1lWV2xIab8Hrxl5aXnRrtiRXTi8CFl1MPSS0k5&#10;Nq6syRs9PGhjaFOGAO5MZAeBn2+3b4nAPNmPfpjP2nVdX4RpZko5cT9jQqXCXl0d0ls+GZiVv4Bi&#10;ekBPDQksRLOGkBJcbsqoEBNWF5jCLhdg/Wfgub5AgQbzb8ALgpS9ywvYaufj79Tz8dKymusvCcy+&#10;SwQ7P5zo21M0OGHk8Pw3lBF+vif49Z/d/gAAAP//AwBQSwMEFAAGAAgAAAAhAB2oq8zeAAAACAEA&#10;AA8AAABkcnMvZG93bnJldi54bWxMj0FPwkAQhe8m/ofNmHCDbQ0glG4JMTHhggnIQW/T7thWu7NN&#10;d0vLv3f1gsc3b/Le99LtaBpxoc7VlhXEswgEcWF1zaWC89vLdAXCeWSNjWVScCUH2+z+LsVE24GP&#10;dDn5UoQQdgkqqLxvEyldUZFBN7MtcfA+bWfQB9mVUnc4hHDTyMcoWkqDNYeGClt6rqj4PvVGwXuv&#10;F8ePr9dyn9PB4Py8w0M8KDV5GHcbEJ5Gf3uGX/yADllgym3P2olGQRjiFUzj5RxEsNdPqxhE/neJ&#10;QGap/D8g+wEAAP//AwBQSwECLQAUAAYACAAAACEAtoM4kv4AAADhAQAAEwAAAAAAAAAAAAAAAAAA&#10;AAAAW0NvbnRlbnRfVHlwZXNdLnhtbFBLAQItABQABgAIAAAAIQA4/SH/1gAAAJQBAAALAAAAAAAA&#10;AAAAAAAAAC8BAABfcmVscy8ucmVsc1BLAQItABQABgAIAAAAIQA9ZwLOyAEAAPsDAAAOAAAAAAAA&#10;AAAAAAAAAC4CAABkcnMvZTJvRG9jLnhtbFBLAQItABQABgAIAAAAIQAdqKvM3gAAAAgBAAAPAAAA&#10;AAAAAAAAAAAAACIEAABkcnMvZG93bnJldi54bWxQSwUGAAAAAAQABADzAAAALQUAAAAA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9201A" w14:textId="77777777" w:rsidR="00985200" w:rsidRDefault="00985200">
      <w:pPr>
        <w:spacing w:after="0" w:line="240" w:lineRule="auto"/>
      </w:pPr>
      <w:r>
        <w:separator/>
      </w:r>
    </w:p>
  </w:footnote>
  <w:footnote w:type="continuationSeparator" w:id="0">
    <w:p w14:paraId="7431BB91" w14:textId="77777777" w:rsidR="00985200" w:rsidRDefault="0098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29AE" w14:textId="77777777" w:rsidR="007C33F7" w:rsidRDefault="00C96679">
    <w:pPr>
      <w:spacing w:after="100" w:afterAutospacing="1"/>
      <w:jc w:val="right"/>
      <w:rPr>
        <w:rFonts w:cstheme="minorHAnsi"/>
        <w:color w:val="AEAAAA" w:themeColor="background2" w:themeShade="BF"/>
        <w:sz w:val="24"/>
      </w:rPr>
    </w:pPr>
    <w:r>
      <w:rPr>
        <w:rFonts w:cstheme="minorHAnsi"/>
        <w:color w:val="AEAAAA" w:themeColor="background2" w:themeShade="BF"/>
        <w:sz w:val="24"/>
      </w:rPr>
      <w:t>ESPECIFICACIONES DE ARQUITECTURA E INGENIERÍA</w:t>
    </w:r>
  </w:p>
  <w:p w14:paraId="7C6D4EDF" w14:textId="77777777" w:rsidR="007C33F7" w:rsidRDefault="007C33F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344466">
    <w:abstractNumId w:val="3"/>
  </w:num>
  <w:num w:numId="2" w16cid:durableId="2024163671">
    <w:abstractNumId w:val="0"/>
  </w:num>
  <w:num w:numId="3" w16cid:durableId="209002393">
    <w:abstractNumId w:val="1"/>
  </w:num>
  <w:num w:numId="4" w16cid:durableId="95171663">
    <w:abstractNumId w:val="2"/>
  </w:num>
  <w:num w:numId="5" w16cid:durableId="949356970">
    <w:abstractNumId w:val="1"/>
  </w:num>
  <w:num w:numId="6" w16cid:durableId="2015257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095666"/>
    <w:rsid w:val="000A4F89"/>
    <w:rsid w:val="000D2767"/>
    <w:rsid w:val="00146E66"/>
    <w:rsid w:val="00172542"/>
    <w:rsid w:val="0017508D"/>
    <w:rsid w:val="00191D92"/>
    <w:rsid w:val="00196228"/>
    <w:rsid w:val="00205663"/>
    <w:rsid w:val="00206C52"/>
    <w:rsid w:val="00246764"/>
    <w:rsid w:val="00247021"/>
    <w:rsid w:val="00282192"/>
    <w:rsid w:val="00301616"/>
    <w:rsid w:val="00305F3D"/>
    <w:rsid w:val="00326E03"/>
    <w:rsid w:val="00332256"/>
    <w:rsid w:val="00385B5B"/>
    <w:rsid w:val="003A1927"/>
    <w:rsid w:val="003D0F47"/>
    <w:rsid w:val="0042709D"/>
    <w:rsid w:val="0045305B"/>
    <w:rsid w:val="004B3EDE"/>
    <w:rsid w:val="004C60CF"/>
    <w:rsid w:val="004C7EF3"/>
    <w:rsid w:val="00513982"/>
    <w:rsid w:val="005347CA"/>
    <w:rsid w:val="00544255"/>
    <w:rsid w:val="00555923"/>
    <w:rsid w:val="0055711E"/>
    <w:rsid w:val="0065206E"/>
    <w:rsid w:val="00655ED9"/>
    <w:rsid w:val="00666BAC"/>
    <w:rsid w:val="006671F1"/>
    <w:rsid w:val="006876F7"/>
    <w:rsid w:val="006A2C28"/>
    <w:rsid w:val="006C1E6F"/>
    <w:rsid w:val="0070655D"/>
    <w:rsid w:val="00751519"/>
    <w:rsid w:val="00784971"/>
    <w:rsid w:val="007C33F7"/>
    <w:rsid w:val="007D7949"/>
    <w:rsid w:val="007E2F52"/>
    <w:rsid w:val="007E43F1"/>
    <w:rsid w:val="007F7140"/>
    <w:rsid w:val="00826FF6"/>
    <w:rsid w:val="008369D0"/>
    <w:rsid w:val="008516D9"/>
    <w:rsid w:val="008571B5"/>
    <w:rsid w:val="0091308C"/>
    <w:rsid w:val="00915CB2"/>
    <w:rsid w:val="0095434C"/>
    <w:rsid w:val="009625DF"/>
    <w:rsid w:val="00985200"/>
    <w:rsid w:val="00985EA5"/>
    <w:rsid w:val="009A0189"/>
    <w:rsid w:val="009A16AB"/>
    <w:rsid w:val="00A00926"/>
    <w:rsid w:val="00A02D22"/>
    <w:rsid w:val="00A040D4"/>
    <w:rsid w:val="00A21863"/>
    <w:rsid w:val="00A43F3B"/>
    <w:rsid w:val="00A64315"/>
    <w:rsid w:val="00AB7B74"/>
    <w:rsid w:val="00AD24E8"/>
    <w:rsid w:val="00AD5D74"/>
    <w:rsid w:val="00B23E48"/>
    <w:rsid w:val="00B50DB5"/>
    <w:rsid w:val="00B52EDA"/>
    <w:rsid w:val="00B55A9E"/>
    <w:rsid w:val="00BE1B8B"/>
    <w:rsid w:val="00BE5D71"/>
    <w:rsid w:val="00C82C12"/>
    <w:rsid w:val="00C96679"/>
    <w:rsid w:val="00CA2BED"/>
    <w:rsid w:val="00CC0DCA"/>
    <w:rsid w:val="00CD230B"/>
    <w:rsid w:val="00CE31CE"/>
    <w:rsid w:val="00D42B56"/>
    <w:rsid w:val="00D470E2"/>
    <w:rsid w:val="00D53528"/>
    <w:rsid w:val="00D8247D"/>
    <w:rsid w:val="00D82671"/>
    <w:rsid w:val="00D84DBA"/>
    <w:rsid w:val="00D96E6B"/>
    <w:rsid w:val="00DB161D"/>
    <w:rsid w:val="00DB6EA4"/>
    <w:rsid w:val="00E024CF"/>
    <w:rsid w:val="00E10401"/>
    <w:rsid w:val="00E12D30"/>
    <w:rsid w:val="00E36FD0"/>
    <w:rsid w:val="00E467D8"/>
    <w:rsid w:val="00EC009D"/>
    <w:rsid w:val="00EE42DC"/>
    <w:rsid w:val="00F05A05"/>
    <w:rsid w:val="00F266A4"/>
    <w:rsid w:val="00F3557E"/>
    <w:rsid w:val="00F46D31"/>
    <w:rsid w:val="00F57826"/>
    <w:rsid w:val="00F667B3"/>
    <w:rsid w:val="00F67902"/>
    <w:rsid w:val="00F75041"/>
    <w:rsid w:val="00F772CD"/>
    <w:rsid w:val="00FD2583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2A275"/>
  <w15:chartTrackingRefBased/>
  <w15:docId w15:val="{09D49420-390E-41D6-82A2-9C03D8C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11E"/>
  </w:style>
  <w:style w:type="paragraph" w:styleId="Voettekst">
    <w:name w:val="footer"/>
    <w:basedOn w:val="Standaard"/>
    <w:link w:val="Voet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11E"/>
  </w:style>
  <w:style w:type="paragraph" w:customStyle="1" w:styleId="Pa0">
    <w:name w:val="Pa0"/>
    <w:basedOn w:val="Standaard"/>
    <w:next w:val="Standaard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Xavier De Naeyer</cp:lastModifiedBy>
  <cp:revision>5</cp:revision>
  <dcterms:created xsi:type="dcterms:W3CDTF">2023-11-27T10:45:00Z</dcterms:created>
  <dcterms:modified xsi:type="dcterms:W3CDTF">2024-02-08T07:24:00Z</dcterms:modified>
</cp:coreProperties>
</file>