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FBD7" w14:textId="0F53C02A" w:rsidR="008571B5" w:rsidRDefault="00332256" w:rsidP="654B2387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="http://schemas.openxmlformats.org/drawingml/2006/main">
            <w:pict>
              <v:line id="Rechte verbindingslijn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1.3pt,51.3pt" to="490.35pt,51.5pt" w14:anchorId="2520EF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>
                <v:stroke joinstyle="miter"/>
              </v:line>
            </w:pict>
          </mc:Fallback>
        </mc:AlternateContent>
      </w:r>
      <w:r w:rsidR="00E30F37" w:rsidRPr="654B2387">
        <w:rPr>
          <w:rFonts w:asciiTheme="majorHAnsi" w:hAnsiTheme="majorHAnsi" w:cstheme="majorBidi"/>
          <w:color w:val="3B3838" w:themeColor="background2" w:themeShade="40"/>
          <w:sz w:val="40"/>
          <w:szCs w:val="40"/>
          <w:lang w:val="en-GB"/>
        </w:rPr>
        <w:t>INTERIO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6168052D" w:rsidRPr="654B2387">
        <w:rPr>
          <w:b/>
          <w:bCs/>
          <w:caps/>
          <w:color w:val="EB8215"/>
          <w:sz w:val="28"/>
          <w:szCs w:val="28"/>
          <w:lang w:val="en-GB"/>
        </w:rPr>
        <w:t>NIEWIDOCZNY, WEWNĄTRZPROFILOWY HYDRAULICZNY SAMOZAMYKACZ</w:t>
      </w:r>
    </w:p>
    <w:p w14:paraId="63BC7A2E" w14:textId="29337583" w:rsidR="654B2387" w:rsidRDefault="654B2387" w:rsidP="654B2387">
      <w:pPr>
        <w:rPr>
          <w:rFonts w:ascii="Calibri Light" w:eastAsia="Calibri Light" w:hAnsi="Calibri Light" w:cs="Calibri Light"/>
          <w:b/>
          <w:bCs/>
          <w:color w:val="EB8215"/>
          <w:sz w:val="20"/>
          <w:szCs w:val="20"/>
          <w:lang w:val="en-GB"/>
        </w:rPr>
      </w:pPr>
    </w:p>
    <w:p w14:paraId="5C61DE03" w14:textId="585B1744" w:rsidR="17F2BA5C" w:rsidRDefault="17F2BA5C" w:rsidP="654B2387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654B2387">
        <w:rPr>
          <w:rFonts w:ascii="Calibri Light" w:eastAsia="Calibri Light" w:hAnsi="Calibri Light" w:cs="Calibri Light"/>
          <w:b/>
          <w:bCs/>
          <w:color w:val="EB8215"/>
          <w:sz w:val="20"/>
          <w:szCs w:val="20"/>
          <w:lang w:val="en-GB"/>
        </w:rPr>
        <w:t>SPECYFIKACJA</w:t>
      </w:r>
    </w:p>
    <w:p w14:paraId="7E74A578" w14:textId="6D934909" w:rsidR="46B3BBBC" w:rsidRPr="00B04913" w:rsidRDefault="46B3BBBC" w:rsidP="654B2387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być niewidocznie wbudowany w profil bram</w:t>
      </w:r>
      <w:r w:rsidR="08D0EA9E" w:rsidRPr="00B04913">
        <w:rPr>
          <w:rFonts w:ascii="Calibri" w:hAnsi="Calibri" w:cs="Calibri"/>
          <w:lang w:val="pl-PL"/>
        </w:rPr>
        <w:t>ki</w:t>
      </w:r>
      <w:r w:rsidRPr="00B04913">
        <w:rPr>
          <w:rFonts w:ascii="Calibri" w:hAnsi="Calibri" w:cs="Calibri"/>
          <w:lang w:val="pl-PL"/>
        </w:rPr>
        <w:t>, zapewniając wandaloodporne użytkowanie.</w:t>
      </w:r>
    </w:p>
    <w:p w14:paraId="24DF07B3" w14:textId="52D5F1F9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mieć pasujące górne i dolne zestawy zawiasów.</w:t>
      </w:r>
    </w:p>
    <w:p w14:paraId="2806686B" w14:textId="26303785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Powinny być dostępne opcjonalne zestawy zawiasów do montażu na ziemi i na ścianie.</w:t>
      </w:r>
    </w:p>
    <w:p w14:paraId="64A03128" w14:textId="65AF53E7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być w 100% mechaniczny (bez elementów elektronicznych).</w:t>
      </w:r>
    </w:p>
    <w:p w14:paraId="4C6C3AB5" w14:textId="42D9828F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Powinna istnieć możliwość regulacji prędkości zamykania bram</w:t>
      </w:r>
      <w:r w:rsidR="456D0D94" w:rsidRPr="00B04913">
        <w:rPr>
          <w:rFonts w:ascii="Calibri" w:hAnsi="Calibri" w:cs="Calibri"/>
          <w:lang w:val="pl-PL"/>
        </w:rPr>
        <w:t>ki</w:t>
      </w:r>
      <w:r w:rsidRPr="00B04913">
        <w:rPr>
          <w:rFonts w:ascii="Calibri" w:hAnsi="Calibri" w:cs="Calibri"/>
          <w:lang w:val="pl-PL"/>
        </w:rPr>
        <w:t xml:space="preserve"> poprzez prostą regulację zaworu za pomocą klucza imbusowego, a to w sposób ciągły, aby zapewnić mikroregulacje.</w:t>
      </w:r>
    </w:p>
    <w:p w14:paraId="54E80523" w14:textId="6945712F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 xml:space="preserve">Powinna istnieć możliwość </w:t>
      </w:r>
      <w:r w:rsidR="31E40C51" w:rsidRPr="00B04913">
        <w:rPr>
          <w:rFonts w:ascii="Calibri" w:hAnsi="Calibri" w:cs="Calibri"/>
          <w:lang w:val="pl-PL"/>
        </w:rPr>
        <w:t>regulacji szybkości domyku</w:t>
      </w:r>
      <w:r w:rsidRPr="00B04913">
        <w:rPr>
          <w:rFonts w:ascii="Calibri" w:hAnsi="Calibri" w:cs="Calibri"/>
          <w:lang w:val="pl-PL"/>
        </w:rPr>
        <w:t xml:space="preserve"> (</w:t>
      </w:r>
      <w:r w:rsidR="3AA39183" w:rsidRPr="00B04913">
        <w:rPr>
          <w:rFonts w:ascii="Calibri" w:hAnsi="Calibri" w:cs="Calibri"/>
          <w:lang w:val="pl-PL"/>
        </w:rPr>
        <w:t>przyśpieszenia</w:t>
      </w:r>
      <w:r w:rsidRPr="00B04913">
        <w:rPr>
          <w:rFonts w:ascii="Calibri" w:hAnsi="Calibri" w:cs="Calibri"/>
          <w:lang w:val="pl-PL"/>
        </w:rPr>
        <w:t xml:space="preserve">) </w:t>
      </w:r>
      <w:r w:rsidR="11A6AD18" w:rsidRPr="00B04913">
        <w:rPr>
          <w:rFonts w:ascii="Calibri" w:hAnsi="Calibri" w:cs="Calibri"/>
          <w:lang w:val="pl-PL"/>
        </w:rPr>
        <w:t>samozamykacza</w:t>
      </w:r>
      <w:r w:rsidRPr="00B04913">
        <w:rPr>
          <w:rFonts w:ascii="Calibri" w:hAnsi="Calibri" w:cs="Calibri"/>
          <w:lang w:val="pl-PL"/>
        </w:rPr>
        <w:t>, aby zapewnić zatrzaśnięcie bramy.</w:t>
      </w:r>
    </w:p>
    <w:p w14:paraId="4F881351" w14:textId="0CC7A78D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 xml:space="preserve">Musi istnieć możliwość całkowitego wyeliminowania ostatniego zatrzaśnięcia </w:t>
      </w:r>
      <w:r w:rsidR="1923A53D" w:rsidRPr="00B04913">
        <w:rPr>
          <w:rFonts w:ascii="Calibri" w:hAnsi="Calibri" w:cs="Calibri"/>
          <w:lang w:val="pl-PL"/>
        </w:rPr>
        <w:t>w samozamykaczu</w:t>
      </w:r>
      <w:r w:rsidRPr="00B04913">
        <w:rPr>
          <w:rFonts w:ascii="Calibri" w:hAnsi="Calibri" w:cs="Calibri"/>
          <w:lang w:val="pl-PL"/>
        </w:rPr>
        <w:t>, aby uzyskać ciche zamknięcie (</w:t>
      </w:r>
      <w:r w:rsidR="7FF337DE" w:rsidRPr="00B04913">
        <w:rPr>
          <w:rFonts w:ascii="Calibri" w:hAnsi="Calibri" w:cs="Calibri"/>
          <w:lang w:val="pl-PL"/>
        </w:rPr>
        <w:t>wykorzystywane w</w:t>
      </w:r>
      <w:r w:rsidRPr="00B04913">
        <w:rPr>
          <w:rFonts w:ascii="Calibri" w:hAnsi="Calibri" w:cs="Calibri"/>
          <w:lang w:val="pl-PL"/>
        </w:rPr>
        <w:t xml:space="preserve"> połączeniu z</w:t>
      </w:r>
      <w:r w:rsidR="3F4DA039" w:rsidRPr="00B04913">
        <w:rPr>
          <w:rFonts w:ascii="Calibri" w:hAnsi="Calibri" w:cs="Calibri"/>
          <w:lang w:val="pl-PL"/>
        </w:rPr>
        <w:t>e</w:t>
      </w:r>
      <w:r w:rsidRPr="00B04913">
        <w:rPr>
          <w:rFonts w:ascii="Calibri" w:hAnsi="Calibri" w:cs="Calibri"/>
          <w:lang w:val="pl-PL"/>
        </w:rPr>
        <w:t xml:space="preserve"> z</w:t>
      </w:r>
      <w:r w:rsidR="4F44F20C" w:rsidRPr="00B04913">
        <w:rPr>
          <w:rFonts w:ascii="Calibri" w:hAnsi="Calibri" w:cs="Calibri"/>
          <w:lang w:val="pl-PL"/>
        </w:rPr>
        <w:t xml:space="preserve">worami </w:t>
      </w:r>
      <w:r w:rsidRPr="00B04913">
        <w:rPr>
          <w:rFonts w:ascii="Calibri" w:hAnsi="Calibri" w:cs="Calibri"/>
          <w:lang w:val="pl-PL"/>
        </w:rPr>
        <w:t>magnetycznymi).</w:t>
      </w:r>
    </w:p>
    <w:p w14:paraId="2F707A1F" w14:textId="7A387ABF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Prędkość zamykania musi być regulowana.</w:t>
      </w:r>
    </w:p>
    <w:p w14:paraId="1B60288B" w14:textId="608AFD07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umożliwiać kąt otwarcia bram</w:t>
      </w:r>
      <w:r w:rsidR="3BEB8C80" w:rsidRPr="00B04913">
        <w:rPr>
          <w:rFonts w:ascii="Calibri" w:hAnsi="Calibri" w:cs="Calibri"/>
          <w:lang w:val="pl-PL"/>
        </w:rPr>
        <w:t>ki</w:t>
      </w:r>
      <w:r w:rsidRPr="00B04913">
        <w:rPr>
          <w:rFonts w:ascii="Calibri" w:hAnsi="Calibri" w:cs="Calibri"/>
          <w:lang w:val="pl-PL"/>
        </w:rPr>
        <w:t xml:space="preserve"> o 180 stopni.</w:t>
      </w:r>
    </w:p>
    <w:p w14:paraId="2FA45E3A" w14:textId="4CC9FABC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 xml:space="preserve">Po otwarciu o 180 stopni samozamykacz powinien sam się zamknąć na </w:t>
      </w:r>
      <w:r w:rsidR="33223042" w:rsidRPr="00B04913">
        <w:rPr>
          <w:rFonts w:ascii="Calibri" w:hAnsi="Calibri" w:cs="Calibri"/>
          <w:lang w:val="pl-PL"/>
        </w:rPr>
        <w:t xml:space="preserve">przestrzeni całych </w:t>
      </w:r>
      <w:r w:rsidRPr="00B04913">
        <w:rPr>
          <w:rFonts w:ascii="Calibri" w:hAnsi="Calibri" w:cs="Calibri"/>
          <w:lang w:val="pl-PL"/>
        </w:rPr>
        <w:t>180 stopni.</w:t>
      </w:r>
    </w:p>
    <w:p w14:paraId="229D307D" w14:textId="3D101215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mieć hydrauliczny mechanizm tłumiący.</w:t>
      </w:r>
    </w:p>
    <w:p w14:paraId="3DB2D2CF" w14:textId="668C87BF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być zaprojektowany i wyprodukowany w Europie lub w Stanach Zjednoczonych.</w:t>
      </w:r>
    </w:p>
    <w:p w14:paraId="0C3D85C6" w14:textId="2A6F645B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być zgodny z ADA, ROSPA i PMR.</w:t>
      </w:r>
    </w:p>
    <w:p w14:paraId="288DF846" w14:textId="1C2BDB8F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mieć podwójne uszczelki gumowe, aby przez cały czas unikać wycieku oleju.</w:t>
      </w:r>
    </w:p>
    <w:p w14:paraId="27592DA6" w14:textId="053B4A6B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używać uszczelnień obrotowych (w p</w:t>
      </w:r>
      <w:proofErr w:type="spellStart"/>
      <w:r w:rsidR="6AA55631" w:rsidRPr="00B04913">
        <w:rPr>
          <w:rFonts w:ascii="Calibri" w:hAnsi="Calibri" w:cs="Calibri"/>
          <w:lang w:val="pl-PL"/>
        </w:rPr>
        <w:t>rzeciwieństwie</w:t>
      </w:r>
      <w:proofErr w:type="spellEnd"/>
      <w:r w:rsidR="6AA55631" w:rsidRPr="00B04913">
        <w:rPr>
          <w:rFonts w:ascii="Calibri" w:hAnsi="Calibri" w:cs="Calibri"/>
          <w:lang w:val="pl-PL"/>
        </w:rPr>
        <w:t xml:space="preserve"> do</w:t>
      </w:r>
      <w:r w:rsidRPr="00B04913">
        <w:rPr>
          <w:rFonts w:ascii="Calibri" w:hAnsi="Calibri" w:cs="Calibri"/>
          <w:lang w:val="pl-PL"/>
        </w:rPr>
        <w:t xml:space="preserve"> </w:t>
      </w:r>
      <w:proofErr w:type="spellStart"/>
      <w:r w:rsidRPr="00B04913">
        <w:rPr>
          <w:rFonts w:ascii="Calibri" w:hAnsi="Calibri" w:cs="Calibri"/>
          <w:lang w:val="pl-PL"/>
        </w:rPr>
        <w:t>liniowy</w:t>
      </w:r>
      <w:r w:rsidR="3EBB8A96" w:rsidRPr="00B04913">
        <w:rPr>
          <w:rFonts w:ascii="Calibri" w:hAnsi="Calibri" w:cs="Calibri"/>
          <w:lang w:val="pl-PL"/>
        </w:rPr>
        <w:t>ch</w:t>
      </w:r>
      <w:proofErr w:type="spellEnd"/>
      <w:r w:rsidRPr="00B04913">
        <w:rPr>
          <w:rFonts w:ascii="Calibri" w:hAnsi="Calibri" w:cs="Calibri"/>
          <w:lang w:val="pl-PL"/>
        </w:rPr>
        <w:t>), aby zapewnić długowieczność zamykacza.</w:t>
      </w:r>
    </w:p>
    <w:p w14:paraId="25A4D133" w14:textId="66377264" w:rsidR="46B3BBBC" w:rsidRPr="00B04913" w:rsidRDefault="46B3BBBC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być w stanie zamykać bramy do 150 kg / 330 funtów i szerokoś</w:t>
      </w:r>
      <w:proofErr w:type="spellStart"/>
      <w:r w:rsidR="7797CC7B" w:rsidRPr="00B04913">
        <w:rPr>
          <w:rFonts w:ascii="Calibri" w:hAnsi="Calibri" w:cs="Calibri"/>
          <w:lang w:val="pl-PL"/>
        </w:rPr>
        <w:t>ci</w:t>
      </w:r>
      <w:proofErr w:type="spellEnd"/>
      <w:r w:rsidRPr="00B04913">
        <w:rPr>
          <w:rFonts w:ascii="Calibri" w:hAnsi="Calibri" w:cs="Calibri"/>
          <w:lang w:val="pl-PL"/>
        </w:rPr>
        <w:t xml:space="preserve"> </w:t>
      </w:r>
      <w:proofErr w:type="spellStart"/>
      <w:r w:rsidRPr="00B04913">
        <w:rPr>
          <w:rFonts w:ascii="Calibri" w:hAnsi="Calibri" w:cs="Calibri"/>
          <w:lang w:val="pl-PL"/>
        </w:rPr>
        <w:t>bram</w:t>
      </w:r>
      <w:r w:rsidR="3F9C69C0" w:rsidRPr="00B04913">
        <w:rPr>
          <w:rFonts w:ascii="Calibri" w:hAnsi="Calibri" w:cs="Calibri"/>
          <w:lang w:val="pl-PL"/>
        </w:rPr>
        <w:t>ki</w:t>
      </w:r>
      <w:proofErr w:type="spellEnd"/>
      <w:r w:rsidRPr="00B04913">
        <w:rPr>
          <w:rFonts w:ascii="Calibri" w:hAnsi="Calibri" w:cs="Calibri"/>
          <w:lang w:val="pl-PL"/>
        </w:rPr>
        <w:t xml:space="preserve"> do 1,5 m / 3,937 stóp.</w:t>
      </w:r>
    </w:p>
    <w:p w14:paraId="1A4C57D0" w14:textId="77777777" w:rsidR="007F7140" w:rsidRPr="004C7EF3" w:rsidRDefault="007F7140" w:rsidP="654B2387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</w:p>
    <w:p w14:paraId="6F729CB2" w14:textId="3361A823" w:rsidR="583890FA" w:rsidRDefault="583890FA" w:rsidP="654B2387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654B2387">
        <w:rPr>
          <w:rFonts w:ascii="Calibri Light" w:eastAsia="Calibri Light" w:hAnsi="Calibri Light" w:cs="Calibri Light"/>
          <w:b/>
          <w:bCs/>
          <w:color w:val="EB8215"/>
          <w:sz w:val="20"/>
          <w:szCs w:val="20"/>
          <w:lang w:val="en-GB"/>
        </w:rPr>
        <w:t>WSTĘP</w:t>
      </w:r>
    </w:p>
    <w:p w14:paraId="04BEB80A" w14:textId="24E9903E" w:rsidR="0956660D" w:rsidRPr="00B04913" w:rsidRDefault="0956660D" w:rsidP="654B2387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być specjalnie wykonany do użytku na zewnątrz.</w:t>
      </w:r>
    </w:p>
    <w:p w14:paraId="7EE40AB5" w14:textId="4127DB8F" w:rsidR="0956660D" w:rsidRPr="00B04913" w:rsidRDefault="0956660D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Samozamykacz powinien być łatwy do otwarcia przy maksymalnej sile 20Nm.</w:t>
      </w:r>
    </w:p>
    <w:p w14:paraId="0DAE11FF" w14:textId="4688EB69" w:rsidR="0956660D" w:rsidRPr="00B04913" w:rsidRDefault="0956660D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 xml:space="preserve">Należy zagwarantować prawidłowe działanie tłumienia hydraulicznego w każdych warunkach temperaturowych, bez żadnych regulacji letnich lub zimowych, mierzonych </w:t>
      </w:r>
      <w:r w:rsidR="7348B857" w:rsidRPr="00B04913">
        <w:rPr>
          <w:rFonts w:ascii="Calibri" w:hAnsi="Calibri" w:cs="Calibri"/>
          <w:lang w:val="pl-PL"/>
        </w:rPr>
        <w:t>dla kąta otwarcia</w:t>
      </w:r>
      <w:r w:rsidRPr="00B04913">
        <w:rPr>
          <w:rFonts w:ascii="Calibri" w:hAnsi="Calibri" w:cs="Calibri"/>
          <w:lang w:val="pl-PL"/>
        </w:rPr>
        <w:t xml:space="preserve"> 90 °. Lepkość oleju nie powinna mieć wpływu na działanie samozamykacza.</w:t>
      </w:r>
    </w:p>
    <w:p w14:paraId="60F9C21E" w14:textId="60586C26" w:rsidR="0956660D" w:rsidRPr="00B04913" w:rsidRDefault="0956660D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Czas zamknięcia nie może być niższy niż 10 sekund w temperaturze 70 stopni Celsjusza / 185 stopni Fahrenheita (lato).</w:t>
      </w:r>
    </w:p>
    <w:p w14:paraId="66E6D678" w14:textId="62005DAC" w:rsidR="0956660D" w:rsidRPr="00B04913" w:rsidRDefault="0956660D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Czas zamknięcia nie powinien być dłuższy niż 30 sekund w temperaturze -30 stopni Celsjusza / -22 stopni Fahrenheita (zima).</w:t>
      </w:r>
    </w:p>
    <w:p w14:paraId="113CCFD3" w14:textId="143C685D" w:rsidR="3C1B2813" w:rsidRPr="00B04913" w:rsidRDefault="3C1B2813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 xml:space="preserve">Samozamykacz </w:t>
      </w:r>
      <w:r w:rsidR="0956660D" w:rsidRPr="00B04913">
        <w:rPr>
          <w:rFonts w:ascii="Calibri" w:hAnsi="Calibri" w:cs="Calibri"/>
          <w:lang w:val="pl-PL"/>
        </w:rPr>
        <w:t xml:space="preserve">został przetestowany na 500 000 </w:t>
      </w:r>
      <w:r w:rsidR="6D5F2B02" w:rsidRPr="00B04913">
        <w:rPr>
          <w:rFonts w:ascii="Calibri" w:hAnsi="Calibri" w:cs="Calibri"/>
          <w:lang w:val="pl-PL"/>
        </w:rPr>
        <w:t>cykli</w:t>
      </w:r>
      <w:r w:rsidR="0956660D" w:rsidRPr="00B04913">
        <w:rPr>
          <w:rFonts w:ascii="Calibri" w:hAnsi="Calibri" w:cs="Calibri"/>
          <w:lang w:val="pl-PL"/>
        </w:rPr>
        <w:t>.</w:t>
      </w:r>
    </w:p>
    <w:p w14:paraId="130778FA" w14:textId="6D944C1B" w:rsidR="0956660D" w:rsidRPr="00B04913" w:rsidRDefault="0956660D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 xml:space="preserve">Samozamykacz powinien być bezobsługowy (bez </w:t>
      </w:r>
      <w:r w:rsidR="46E4E45D" w:rsidRPr="00B04913">
        <w:rPr>
          <w:rFonts w:ascii="Calibri" w:hAnsi="Calibri" w:cs="Calibri"/>
          <w:lang w:val="pl-PL"/>
        </w:rPr>
        <w:t xml:space="preserve">konieczności </w:t>
      </w:r>
      <w:r w:rsidRPr="00B04913">
        <w:rPr>
          <w:rFonts w:ascii="Calibri" w:hAnsi="Calibri" w:cs="Calibri"/>
          <w:lang w:val="pl-PL"/>
        </w:rPr>
        <w:t>smarowania i uzupełniania oleju).</w:t>
      </w:r>
    </w:p>
    <w:p w14:paraId="7ED31B9A" w14:textId="3CA8E90E" w:rsidR="0956660D" w:rsidRPr="00B04913" w:rsidRDefault="0956660D" w:rsidP="00B04913">
      <w:pPr>
        <w:pStyle w:val="Bullets"/>
        <w:rPr>
          <w:rFonts w:ascii="Calibri" w:hAnsi="Calibri" w:cs="Calibri"/>
          <w:lang w:val="pl-PL"/>
        </w:rPr>
      </w:pPr>
      <w:r w:rsidRPr="00B04913">
        <w:rPr>
          <w:rFonts w:ascii="Calibri" w:hAnsi="Calibri" w:cs="Calibri"/>
          <w:lang w:val="pl-PL"/>
        </w:rPr>
        <w:t>Gwarancja producenta wynosi 3 lata.</w:t>
      </w:r>
    </w:p>
    <w:p w14:paraId="29114802" w14:textId="334539A0" w:rsidR="007E43F1" w:rsidRPr="004C7EF3" w:rsidRDefault="007E43F1" w:rsidP="654B2387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654B238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</w:t>
      </w:r>
      <w:r w:rsidR="500B9667" w:rsidRPr="654B238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ACJA</w:t>
      </w:r>
    </w:p>
    <w:p w14:paraId="28923F66" w14:textId="77777777" w:rsidR="00B04913" w:rsidRPr="00B04913" w:rsidRDefault="00B04913" w:rsidP="00B04913">
      <w:pPr>
        <w:pStyle w:val="Bullets"/>
        <w:rPr>
          <w:rFonts w:ascii="Calibri" w:hAnsi="Calibri" w:cs="Calibri"/>
        </w:rPr>
      </w:pPr>
      <w:r w:rsidRPr="00B04913">
        <w:rPr>
          <w:rFonts w:ascii="Calibri" w:hAnsi="Calibri" w:cs="Calibri"/>
        </w:rPr>
        <w:t xml:space="preserve">In W </w:t>
      </w:r>
      <w:proofErr w:type="spellStart"/>
      <w:r w:rsidRPr="00B04913">
        <w:rPr>
          <w:rFonts w:ascii="Calibri" w:hAnsi="Calibri" w:cs="Calibri"/>
        </w:rPr>
        <w:t>samozamykaczu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bramy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należy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zainstalować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napięcie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wstępne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zapewniające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sprawny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montaż</w:t>
      </w:r>
      <w:proofErr w:type="spellEnd"/>
      <w:r w:rsidRPr="00B04913">
        <w:rPr>
          <w:rFonts w:ascii="Calibri" w:hAnsi="Calibri" w:cs="Calibri"/>
        </w:rPr>
        <w:t>.</w:t>
      </w:r>
    </w:p>
    <w:p w14:paraId="0D96FE41" w14:textId="77777777" w:rsidR="00B04913" w:rsidRPr="00B04913" w:rsidRDefault="00B04913" w:rsidP="00B04913">
      <w:pPr>
        <w:pStyle w:val="Bullets"/>
        <w:rPr>
          <w:rFonts w:ascii="Calibri" w:hAnsi="Calibri" w:cs="Calibri"/>
        </w:rPr>
      </w:pPr>
      <w:r w:rsidRPr="00B04913">
        <w:rPr>
          <w:rFonts w:ascii="Calibri" w:hAnsi="Calibri" w:cs="Calibri"/>
        </w:rPr>
        <w:t xml:space="preserve">Closer </w:t>
      </w:r>
      <w:proofErr w:type="spellStart"/>
      <w:r w:rsidRPr="00B04913">
        <w:rPr>
          <w:rFonts w:ascii="Calibri" w:hAnsi="Calibri" w:cs="Calibri"/>
        </w:rPr>
        <w:t>Samozamykacz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powinien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mieć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wstępnie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zamontowane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elementy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mocujące</w:t>
      </w:r>
      <w:proofErr w:type="spellEnd"/>
      <w:r w:rsidRPr="00B04913">
        <w:rPr>
          <w:rFonts w:ascii="Calibri" w:hAnsi="Calibri" w:cs="Calibri"/>
        </w:rPr>
        <w:t xml:space="preserve"> (bez </w:t>
      </w:r>
      <w:proofErr w:type="spellStart"/>
      <w:r w:rsidRPr="00B04913">
        <w:rPr>
          <w:rFonts w:ascii="Calibri" w:hAnsi="Calibri" w:cs="Calibri"/>
        </w:rPr>
        <w:t>spawania</w:t>
      </w:r>
      <w:proofErr w:type="spellEnd"/>
      <w:r w:rsidRPr="00B04913">
        <w:rPr>
          <w:rFonts w:ascii="Calibri" w:hAnsi="Calibri" w:cs="Calibri"/>
        </w:rPr>
        <w:t xml:space="preserve">) za </w:t>
      </w:r>
      <w:proofErr w:type="spellStart"/>
      <w:r w:rsidRPr="00B04913">
        <w:rPr>
          <w:rFonts w:ascii="Calibri" w:hAnsi="Calibri" w:cs="Calibri"/>
        </w:rPr>
        <w:t>pomocą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śrub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ze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stali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nierdzewnej</w:t>
      </w:r>
      <w:proofErr w:type="spellEnd"/>
      <w:r w:rsidRPr="00B04913">
        <w:rPr>
          <w:rFonts w:ascii="Calibri" w:hAnsi="Calibri" w:cs="Calibri"/>
        </w:rPr>
        <w:t xml:space="preserve">. </w:t>
      </w:r>
      <w:proofErr w:type="spellStart"/>
      <w:r w:rsidRPr="00B04913">
        <w:rPr>
          <w:rFonts w:ascii="Calibri" w:hAnsi="Calibri" w:cs="Calibri"/>
        </w:rPr>
        <w:t>Wszystkie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wsporniki</w:t>
      </w:r>
      <w:proofErr w:type="spellEnd"/>
      <w:r w:rsidRPr="00B04913">
        <w:rPr>
          <w:rFonts w:ascii="Calibri" w:hAnsi="Calibri" w:cs="Calibri"/>
        </w:rPr>
        <w:t xml:space="preserve"> do </w:t>
      </w:r>
      <w:proofErr w:type="spellStart"/>
      <w:r w:rsidRPr="00B04913">
        <w:rPr>
          <w:rFonts w:ascii="Calibri" w:hAnsi="Calibri" w:cs="Calibri"/>
        </w:rPr>
        <w:t>mocowania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powinny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pochodzić</w:t>
      </w:r>
      <w:proofErr w:type="spellEnd"/>
      <w:r w:rsidRPr="00B04913">
        <w:rPr>
          <w:rFonts w:ascii="Calibri" w:hAnsi="Calibri" w:cs="Calibri"/>
        </w:rPr>
        <w:t xml:space="preserve"> z </w:t>
      </w:r>
      <w:proofErr w:type="spellStart"/>
      <w:r w:rsidRPr="00B04913">
        <w:rPr>
          <w:rFonts w:ascii="Calibri" w:hAnsi="Calibri" w:cs="Calibri"/>
        </w:rPr>
        <w:t>produktem</w:t>
      </w:r>
      <w:proofErr w:type="spellEnd"/>
      <w:r w:rsidRPr="00B04913">
        <w:rPr>
          <w:rFonts w:ascii="Calibri" w:hAnsi="Calibri" w:cs="Calibri"/>
        </w:rPr>
        <w:t>.</w:t>
      </w:r>
    </w:p>
    <w:p w14:paraId="74A4C10D" w14:textId="068B8EA0" w:rsidR="00B04913" w:rsidRPr="00B04913" w:rsidRDefault="00B04913" w:rsidP="00B04913">
      <w:pPr>
        <w:pStyle w:val="Bullets"/>
        <w:rPr>
          <w:rFonts w:ascii="Calibri" w:hAnsi="Calibri" w:cs="Calibri"/>
        </w:rPr>
      </w:pPr>
      <w:proofErr w:type="spellStart"/>
      <w:r w:rsidRPr="00B04913">
        <w:rPr>
          <w:rFonts w:ascii="Calibri" w:hAnsi="Calibri" w:cs="Calibri"/>
        </w:rPr>
        <w:lastRenderedPageBreak/>
        <w:t>Tej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samej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samozamykacza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można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używać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zarówno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dla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lewych</w:t>
      </w:r>
      <w:proofErr w:type="spellEnd"/>
      <w:r w:rsidRPr="00B04913">
        <w:rPr>
          <w:rFonts w:ascii="Calibri" w:hAnsi="Calibri" w:cs="Calibri"/>
        </w:rPr>
        <w:t xml:space="preserve">, </w:t>
      </w:r>
      <w:proofErr w:type="spellStart"/>
      <w:r w:rsidRPr="00B04913">
        <w:rPr>
          <w:rFonts w:ascii="Calibri" w:hAnsi="Calibri" w:cs="Calibri"/>
        </w:rPr>
        <w:t>jak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i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prawych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bramek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obrotowych</w:t>
      </w:r>
      <w:proofErr w:type="spellEnd"/>
      <w:r w:rsidRPr="00B04913">
        <w:rPr>
          <w:rFonts w:ascii="Calibri" w:hAnsi="Calibri" w:cs="Calibri"/>
        </w:rPr>
        <w:t>.</w:t>
      </w:r>
    </w:p>
    <w:p w14:paraId="6F8F0DD3" w14:textId="0614820D" w:rsidR="00B04913" w:rsidRPr="00B04913" w:rsidRDefault="00B04913" w:rsidP="00B04913">
      <w:pPr>
        <w:pStyle w:val="Bullets"/>
        <w:rPr>
          <w:rFonts w:ascii="Calibri" w:hAnsi="Calibri" w:cs="Calibri"/>
        </w:rPr>
      </w:pPr>
      <w:r w:rsidRPr="00B04913">
        <w:rPr>
          <w:rFonts w:ascii="Calibri" w:hAnsi="Calibri" w:cs="Calibri"/>
        </w:rPr>
        <w:t xml:space="preserve">W </w:t>
      </w:r>
      <w:proofErr w:type="spellStart"/>
      <w:r w:rsidRPr="00B04913">
        <w:rPr>
          <w:rFonts w:ascii="Calibri" w:hAnsi="Calibri" w:cs="Calibri"/>
        </w:rPr>
        <w:t>zależności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od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instalacji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samozamykacz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powinien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wymagać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użycia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ogranicznika</w:t>
      </w:r>
      <w:proofErr w:type="spellEnd"/>
      <w:r w:rsidRPr="00B04913">
        <w:rPr>
          <w:rFonts w:ascii="Calibri" w:hAnsi="Calibri" w:cs="Calibri"/>
        </w:rPr>
        <w:t xml:space="preserve"> do </w:t>
      </w:r>
      <w:proofErr w:type="spellStart"/>
      <w:r w:rsidRPr="00B04913">
        <w:rPr>
          <w:rFonts w:ascii="Calibri" w:hAnsi="Calibri" w:cs="Calibri"/>
        </w:rPr>
        <w:t>ograniczenia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kąta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otwarcia</w:t>
      </w:r>
      <w:proofErr w:type="spellEnd"/>
      <w:r w:rsidRPr="00B04913">
        <w:rPr>
          <w:rFonts w:ascii="Calibri" w:hAnsi="Calibri" w:cs="Calibri"/>
        </w:rPr>
        <w:t>.</w:t>
      </w:r>
    </w:p>
    <w:p w14:paraId="5E124C77" w14:textId="77777777" w:rsidR="00B04913" w:rsidRPr="00B04913" w:rsidRDefault="00B04913" w:rsidP="00B04913">
      <w:pPr>
        <w:pStyle w:val="Bullets"/>
        <w:rPr>
          <w:rFonts w:ascii="Calibri" w:hAnsi="Calibri" w:cs="Calibri"/>
        </w:rPr>
      </w:pPr>
      <w:r w:rsidRPr="00B04913">
        <w:rPr>
          <w:rFonts w:ascii="Calibri" w:hAnsi="Calibri" w:cs="Calibri"/>
        </w:rPr>
        <w:t xml:space="preserve">For Film </w:t>
      </w:r>
      <w:proofErr w:type="spellStart"/>
      <w:r w:rsidRPr="00B04913">
        <w:rPr>
          <w:rFonts w:ascii="Calibri" w:hAnsi="Calibri" w:cs="Calibri"/>
        </w:rPr>
        <w:t>instruktażowy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dotyczący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instalacji</w:t>
      </w:r>
      <w:proofErr w:type="spellEnd"/>
      <w:r w:rsidRPr="00B04913">
        <w:rPr>
          <w:rFonts w:ascii="Calibri" w:hAnsi="Calibri" w:cs="Calibri"/>
        </w:rPr>
        <w:t xml:space="preserve"> 3D </w:t>
      </w:r>
      <w:proofErr w:type="spellStart"/>
      <w:r w:rsidRPr="00B04913">
        <w:rPr>
          <w:rFonts w:ascii="Calibri" w:hAnsi="Calibri" w:cs="Calibri"/>
        </w:rPr>
        <w:t>powinien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być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dostępny</w:t>
      </w:r>
      <w:proofErr w:type="spellEnd"/>
      <w:r w:rsidRPr="00B04913">
        <w:rPr>
          <w:rFonts w:ascii="Calibri" w:hAnsi="Calibri" w:cs="Calibri"/>
        </w:rPr>
        <w:t xml:space="preserve">, aby </w:t>
      </w:r>
      <w:proofErr w:type="spellStart"/>
      <w:r w:rsidRPr="00B04913">
        <w:rPr>
          <w:rFonts w:ascii="Calibri" w:hAnsi="Calibri" w:cs="Calibri"/>
        </w:rPr>
        <w:t>pomóc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instalatorowi</w:t>
      </w:r>
      <w:proofErr w:type="spellEnd"/>
      <w:r w:rsidRPr="00B04913">
        <w:rPr>
          <w:rFonts w:ascii="Calibri" w:hAnsi="Calibri" w:cs="Calibri"/>
        </w:rPr>
        <w:t>.</w:t>
      </w:r>
    </w:p>
    <w:p w14:paraId="6DA444BA" w14:textId="7F0C51F6" w:rsidR="007E43F1" w:rsidRDefault="00B04913" w:rsidP="00B04913">
      <w:pPr>
        <w:pStyle w:val="Bullets"/>
      </w:pPr>
      <w:r w:rsidRPr="00B04913">
        <w:rPr>
          <w:rFonts w:ascii="Calibri" w:hAnsi="Calibri" w:cs="Calibri"/>
        </w:rPr>
        <w:t xml:space="preserve">Templates </w:t>
      </w:r>
      <w:proofErr w:type="spellStart"/>
      <w:r w:rsidRPr="00B04913">
        <w:rPr>
          <w:rFonts w:ascii="Calibri" w:hAnsi="Calibri" w:cs="Calibri"/>
        </w:rPr>
        <w:t>Należy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dołączyć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szablony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wierceń</w:t>
      </w:r>
      <w:proofErr w:type="spellEnd"/>
      <w:r w:rsidRPr="00B04913">
        <w:rPr>
          <w:rFonts w:ascii="Calibri" w:hAnsi="Calibri" w:cs="Calibri"/>
        </w:rPr>
        <w:t xml:space="preserve">, aby </w:t>
      </w:r>
      <w:proofErr w:type="spellStart"/>
      <w:r w:rsidRPr="00B04913">
        <w:rPr>
          <w:rFonts w:ascii="Calibri" w:hAnsi="Calibri" w:cs="Calibri"/>
        </w:rPr>
        <w:t>pomóc</w:t>
      </w:r>
      <w:proofErr w:type="spellEnd"/>
      <w:r w:rsidRPr="00B04913">
        <w:rPr>
          <w:rFonts w:ascii="Calibri" w:hAnsi="Calibri" w:cs="Calibri"/>
        </w:rPr>
        <w:t xml:space="preserve"> </w:t>
      </w:r>
      <w:proofErr w:type="spellStart"/>
      <w:r w:rsidRPr="00B04913">
        <w:rPr>
          <w:rFonts w:ascii="Calibri" w:hAnsi="Calibri" w:cs="Calibri"/>
        </w:rPr>
        <w:t>instalatorowi</w:t>
      </w:r>
      <w:proofErr w:type="spellEnd"/>
      <w:r w:rsidR="00E30F37">
        <w:t xml:space="preserve"> </w:t>
      </w:r>
    </w:p>
    <w:p w14:paraId="30D6137F" w14:textId="77777777" w:rsidR="004B3EDE" w:rsidRPr="007E43F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51ED780C" w14:textId="057BF8B7" w:rsidR="00332256" w:rsidRPr="009253EB" w:rsidRDefault="00332256" w:rsidP="004C7EF3">
      <w:pPr>
        <w:pStyle w:val="Pa1"/>
        <w:spacing w:before="240" w:after="120"/>
      </w:pPr>
      <w:r w:rsidRPr="654B238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5C0D0197" w:rsidRPr="654B238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ŁY</w:t>
      </w:r>
    </w:p>
    <w:p w14:paraId="7E55B61E" w14:textId="37B919CF" w:rsidR="007E43F1" w:rsidRPr="00B04913" w:rsidRDefault="24217D72" w:rsidP="00B04913">
      <w:pPr>
        <w:pStyle w:val="Bullets"/>
        <w:rPr>
          <w:rFonts w:ascii="Calibri" w:hAnsi="Calibri" w:cs="Calibri"/>
        </w:rPr>
      </w:pPr>
      <w:r w:rsidRPr="00B04913">
        <w:rPr>
          <w:rFonts w:ascii="Calibri" w:hAnsi="Calibri" w:cs="Calibri"/>
        </w:rPr>
        <w:t>Mechanizm samozamykacza powinien być wykonany ze stali nierdzewnej i elementów aluminiowych.</w:t>
      </w:r>
    </w:p>
    <w:p w14:paraId="40E6813E" w14:textId="2AC26611" w:rsidR="007E43F1" w:rsidRPr="00B04913" w:rsidRDefault="24217D72" w:rsidP="00B04913">
      <w:pPr>
        <w:pStyle w:val="Bullets"/>
        <w:rPr>
          <w:rFonts w:ascii="Calibri" w:hAnsi="Calibri" w:cs="Calibri"/>
        </w:rPr>
      </w:pPr>
      <w:r w:rsidRPr="00B04913">
        <w:rPr>
          <w:rFonts w:ascii="Calibri" w:hAnsi="Calibri" w:cs="Calibri"/>
        </w:rPr>
        <w:t>Obudowa mechanizmu powinna być wykonana z wytłaczanego, malowanego proszkowo aluminium (bez malowania na mokro lub anodowania). Malowanie proszkowe powinno być zgodne ze standardami Qualicoat.</w:t>
      </w:r>
    </w:p>
    <w:p w14:paraId="4040BBED" w14:textId="630D848B" w:rsidR="007E43F1" w:rsidRPr="00B04913" w:rsidRDefault="24217D72" w:rsidP="00B04913">
      <w:pPr>
        <w:pStyle w:val="Bullets"/>
        <w:rPr>
          <w:rFonts w:ascii="Calibri" w:hAnsi="Calibri" w:cs="Calibri"/>
        </w:rPr>
      </w:pPr>
      <w:r w:rsidRPr="00B04913">
        <w:rPr>
          <w:rFonts w:ascii="Calibri" w:hAnsi="Calibri" w:cs="Calibri"/>
        </w:rPr>
        <w:t>Samozamykacz powinien mieć odporność na korozję wynoszącą 500 godzin mgły solnej zgodnie z ISO9227.</w:t>
      </w:r>
    </w:p>
    <w:p w14:paraId="5B4987A5" w14:textId="0D65A504" w:rsidR="007E43F1" w:rsidRPr="00B04913" w:rsidRDefault="24217D72" w:rsidP="00B04913">
      <w:pPr>
        <w:pStyle w:val="Bullets"/>
        <w:rPr>
          <w:rFonts w:ascii="Calibri" w:hAnsi="Calibri" w:cs="Calibri"/>
        </w:rPr>
      </w:pPr>
      <w:r w:rsidRPr="00B04913">
        <w:rPr>
          <w:rFonts w:ascii="Calibri" w:hAnsi="Calibri" w:cs="Calibri"/>
        </w:rPr>
        <w:t>Samozamykacz powinien być całkowicie odporny na warunki atmosferyczne i pyły.</w:t>
      </w:r>
    </w:p>
    <w:p w14:paraId="483B4F4C" w14:textId="375FDDB3" w:rsidR="007E43F1" w:rsidRPr="00B04913" w:rsidRDefault="24217D72" w:rsidP="00B04913">
      <w:pPr>
        <w:pStyle w:val="Bullets"/>
        <w:rPr>
          <w:rFonts w:ascii="Calibri" w:hAnsi="Calibri" w:cs="Calibri"/>
        </w:rPr>
      </w:pPr>
      <w:r w:rsidRPr="00B04913">
        <w:rPr>
          <w:rFonts w:ascii="Calibri" w:hAnsi="Calibri" w:cs="Calibri"/>
        </w:rPr>
        <w:t>Samozamykacz powinien mieć odporność na UV przed przebarwieniami przez 500 godzin</w:t>
      </w:r>
    </w:p>
    <w:sectPr w:rsidR="007E43F1" w:rsidRPr="00B04913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4FF2" w14:textId="77777777" w:rsidR="00D41B6A" w:rsidRDefault="00D41B6A" w:rsidP="0055711E">
      <w:pPr>
        <w:spacing w:after="0" w:line="240" w:lineRule="auto"/>
      </w:pPr>
      <w:r>
        <w:separator/>
      </w:r>
    </w:p>
  </w:endnote>
  <w:endnote w:type="continuationSeparator" w:id="0">
    <w:p w14:paraId="47302976" w14:textId="77777777" w:rsidR="00D41B6A" w:rsidRDefault="00D41B6A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<w:pict>
            <v:line id="Rechte verbindingslijn 1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0,-8.15pt" to="489.05pt,-7.95pt" w14:anchorId="7A610E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7BF5" w14:textId="77777777" w:rsidR="00D41B6A" w:rsidRDefault="00D41B6A" w:rsidP="0055711E">
      <w:pPr>
        <w:spacing w:after="0" w:line="240" w:lineRule="auto"/>
      </w:pPr>
      <w:r>
        <w:separator/>
      </w:r>
    </w:p>
  </w:footnote>
  <w:footnote w:type="continuationSeparator" w:id="0">
    <w:p w14:paraId="266D3142" w14:textId="77777777" w:rsidR="00D41B6A" w:rsidRDefault="00D41B6A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FFFFFFFF">
      <w:start w:val="1"/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870"/>
    <w:multiLevelType w:val="hybridMultilevel"/>
    <w:tmpl w:val="2D30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332256"/>
    <w:rsid w:val="00350A0E"/>
    <w:rsid w:val="004B3EDE"/>
    <w:rsid w:val="004C7EF3"/>
    <w:rsid w:val="0055711E"/>
    <w:rsid w:val="005F2860"/>
    <w:rsid w:val="00792F57"/>
    <w:rsid w:val="007E43F1"/>
    <w:rsid w:val="007F7140"/>
    <w:rsid w:val="008571B5"/>
    <w:rsid w:val="008C2FBA"/>
    <w:rsid w:val="00915CB2"/>
    <w:rsid w:val="009E3074"/>
    <w:rsid w:val="00A02D22"/>
    <w:rsid w:val="00A46A24"/>
    <w:rsid w:val="00A64315"/>
    <w:rsid w:val="00AF0CBD"/>
    <w:rsid w:val="00B04913"/>
    <w:rsid w:val="00CD230B"/>
    <w:rsid w:val="00D41B6A"/>
    <w:rsid w:val="00D82671"/>
    <w:rsid w:val="00DC0FA3"/>
    <w:rsid w:val="00E10401"/>
    <w:rsid w:val="00E30F37"/>
    <w:rsid w:val="00F57826"/>
    <w:rsid w:val="00F772CD"/>
    <w:rsid w:val="00FF27E3"/>
    <w:rsid w:val="00FF5F50"/>
    <w:rsid w:val="037C89BB"/>
    <w:rsid w:val="054F65C8"/>
    <w:rsid w:val="06589177"/>
    <w:rsid w:val="0893E564"/>
    <w:rsid w:val="08D0EA9E"/>
    <w:rsid w:val="0956660D"/>
    <w:rsid w:val="0966C08C"/>
    <w:rsid w:val="11A6AD18"/>
    <w:rsid w:val="11EE4EB6"/>
    <w:rsid w:val="14575339"/>
    <w:rsid w:val="168BCD0E"/>
    <w:rsid w:val="16EEB23A"/>
    <w:rsid w:val="17F2BA5C"/>
    <w:rsid w:val="1923A53D"/>
    <w:rsid w:val="1A390FE5"/>
    <w:rsid w:val="24217D72"/>
    <w:rsid w:val="27A72D17"/>
    <w:rsid w:val="2AFE062E"/>
    <w:rsid w:val="2B275B35"/>
    <w:rsid w:val="2BB9FFE7"/>
    <w:rsid w:val="2CA89FE8"/>
    <w:rsid w:val="31E40C51"/>
    <w:rsid w:val="33223042"/>
    <w:rsid w:val="375D9C32"/>
    <w:rsid w:val="37A33140"/>
    <w:rsid w:val="3A93A54A"/>
    <w:rsid w:val="3AA39183"/>
    <w:rsid w:val="3BEB8C80"/>
    <w:rsid w:val="3C1B2813"/>
    <w:rsid w:val="3EBB8A96"/>
    <w:rsid w:val="3F4DA039"/>
    <w:rsid w:val="3F9C69C0"/>
    <w:rsid w:val="3F9E0B25"/>
    <w:rsid w:val="3FC89729"/>
    <w:rsid w:val="3FF0FE40"/>
    <w:rsid w:val="422C96C7"/>
    <w:rsid w:val="44A65BBD"/>
    <w:rsid w:val="44DDB388"/>
    <w:rsid w:val="456D0D94"/>
    <w:rsid w:val="46533E8F"/>
    <w:rsid w:val="46B3BBBC"/>
    <w:rsid w:val="46E4E45D"/>
    <w:rsid w:val="4C4CEEE7"/>
    <w:rsid w:val="4F44F20C"/>
    <w:rsid w:val="500B9667"/>
    <w:rsid w:val="50212CF1"/>
    <w:rsid w:val="56C0CECF"/>
    <w:rsid w:val="57B81A2A"/>
    <w:rsid w:val="583890FA"/>
    <w:rsid w:val="5A894248"/>
    <w:rsid w:val="5C0D0197"/>
    <w:rsid w:val="6168052D"/>
    <w:rsid w:val="640F69B5"/>
    <w:rsid w:val="64328400"/>
    <w:rsid w:val="654B2387"/>
    <w:rsid w:val="6AA55631"/>
    <w:rsid w:val="6D5F2B02"/>
    <w:rsid w:val="7039173C"/>
    <w:rsid w:val="716D2D1B"/>
    <w:rsid w:val="71A99368"/>
    <w:rsid w:val="7348B857"/>
    <w:rsid w:val="74CEA29F"/>
    <w:rsid w:val="74FB9589"/>
    <w:rsid w:val="7797CC7B"/>
    <w:rsid w:val="77B10322"/>
    <w:rsid w:val="7B51EC19"/>
    <w:rsid w:val="7FF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0C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12</cp:revision>
  <dcterms:created xsi:type="dcterms:W3CDTF">2018-05-23T07:48:00Z</dcterms:created>
  <dcterms:modified xsi:type="dcterms:W3CDTF">2020-05-06T12:10:00Z</dcterms:modified>
</cp:coreProperties>
</file>